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eastAsia" w:ascii="Arial" w:hAnsi="Arial" w:cs="Arial"/>
          <w:b/>
          <w:bCs/>
          <w:snapToGrid w:val="0"/>
          <w:kern w:val="0"/>
          <w:sz w:val="24"/>
          <w:szCs w:val="28"/>
        </w:rPr>
      </w:pPr>
      <w:r>
        <w:rPr>
          <w:rFonts w:ascii="Arial" w:hAnsi="Arial"/>
          <w:b/>
          <w:sz w:val="24"/>
          <w:szCs w:val="24"/>
          <w:lang w:eastAsia="zh-CN"/>
        </w:rPr>
        <w:t>3GPP TSG-RAN WG2 Meeting</w:t>
      </w:r>
      <w:r>
        <w:rPr>
          <w:rFonts w:hint="eastAsia" w:ascii="Arial" w:hAnsi="Arial"/>
          <w:b/>
          <w:sz w:val="24"/>
          <w:szCs w:val="24"/>
          <w:lang w:eastAsia="zh-CN"/>
        </w:rPr>
        <w:t>#</w:t>
      </w:r>
      <w:r>
        <w:rPr>
          <w:rFonts w:ascii="Arial" w:hAnsi="Arial"/>
          <w:b/>
          <w:sz w:val="24"/>
          <w:szCs w:val="24"/>
          <w:lang w:val="en-GB" w:eastAsia="zh-CN"/>
        </w:rPr>
        <w:t>AH1801</w:t>
      </w:r>
      <w:r>
        <w:rPr>
          <w:rFonts w:hint="eastAsia" w:ascii="Arial" w:hAnsi="Arial" w:cs="Arial"/>
          <w:b/>
          <w:bCs/>
          <w:snapToGrid w:val="0"/>
          <w:kern w:val="0"/>
          <w:sz w:val="24"/>
          <w:szCs w:val="28"/>
          <w:lang w:val="en-GB"/>
        </w:rPr>
        <w:t xml:space="preserve">        </w:t>
      </w:r>
      <w:r>
        <w:rPr>
          <w:rFonts w:hint="eastAsia" w:ascii="Arial" w:hAnsi="Arial" w:cs="Arial"/>
          <w:b/>
          <w:bCs/>
          <w:snapToGrid w:val="0"/>
          <w:kern w:val="0"/>
          <w:sz w:val="24"/>
          <w:szCs w:val="28"/>
        </w:rPr>
        <w:t xml:space="preserve">    </w:t>
      </w:r>
      <w:r>
        <w:rPr>
          <w:rFonts w:hint="eastAsia" w:ascii="Arial" w:hAnsi="Arial" w:cs="Arial"/>
          <w:b/>
          <w:bCs/>
          <w:snapToGrid w:val="0"/>
          <w:kern w:val="0"/>
          <w:sz w:val="24"/>
          <w:szCs w:val="28"/>
        </w:rPr>
        <w:tab/>
      </w:r>
      <w:r>
        <w:rPr>
          <w:rFonts w:hint="eastAsia" w:ascii="Arial" w:hAnsi="Arial" w:cs="Arial"/>
          <w:b/>
          <w:bCs/>
          <w:snapToGrid w:val="0"/>
          <w:kern w:val="0"/>
          <w:sz w:val="24"/>
          <w:szCs w:val="28"/>
        </w:rPr>
        <w:tab/>
      </w:r>
      <w:r>
        <w:rPr>
          <w:rFonts w:hint="eastAsia" w:ascii="Arial" w:hAnsi="Arial" w:cs="Arial"/>
          <w:b/>
          <w:bCs/>
          <w:snapToGrid w:val="0"/>
          <w:kern w:val="0"/>
          <w:sz w:val="24"/>
          <w:szCs w:val="28"/>
        </w:rPr>
        <w:tab/>
      </w:r>
      <w:r>
        <w:rPr>
          <w:rFonts w:hint="eastAsia" w:ascii="Arial" w:hAnsi="Arial" w:cs="Arial"/>
          <w:b/>
          <w:bCs/>
          <w:snapToGrid w:val="0"/>
          <w:kern w:val="0"/>
          <w:sz w:val="24"/>
          <w:szCs w:val="28"/>
        </w:rPr>
        <w:tab/>
      </w:r>
      <w:r>
        <w:rPr>
          <w:rFonts w:hint="eastAsia" w:ascii="Arial" w:hAnsi="Arial" w:cs="Arial"/>
          <w:b/>
          <w:bCs/>
          <w:snapToGrid w:val="0"/>
          <w:kern w:val="0"/>
          <w:sz w:val="24"/>
          <w:szCs w:val="28"/>
        </w:rPr>
        <w:t xml:space="preserve"> </w:t>
      </w:r>
      <w:r>
        <w:rPr>
          <w:rFonts w:hint="eastAsia" w:ascii="Arial" w:hAnsi="Arial" w:cs="Arial"/>
          <w:b/>
          <w:bCs/>
          <w:snapToGrid w:val="0"/>
          <w:kern w:val="0"/>
          <w:sz w:val="24"/>
          <w:szCs w:val="28"/>
        </w:rPr>
        <w:tab/>
      </w:r>
      <w:r>
        <w:rPr>
          <w:rFonts w:hint="eastAsia" w:ascii="Arial" w:hAnsi="Arial" w:cs="Arial"/>
          <w:b/>
          <w:bCs/>
          <w:snapToGrid w:val="0"/>
          <w:kern w:val="0"/>
          <w:sz w:val="24"/>
          <w:szCs w:val="28"/>
        </w:rPr>
        <w:tab/>
      </w:r>
      <w:r>
        <w:rPr>
          <w:rFonts w:hint="eastAsia" w:ascii="Arial" w:hAnsi="Arial" w:cs="Arial"/>
          <w:b/>
          <w:bCs/>
          <w:snapToGrid w:val="0"/>
          <w:kern w:val="0"/>
          <w:sz w:val="24"/>
          <w:szCs w:val="28"/>
        </w:rPr>
        <w:tab/>
      </w:r>
      <w:r>
        <w:rPr>
          <w:rFonts w:hint="eastAsia" w:ascii="Arial" w:hAnsi="Arial" w:cs="Arial"/>
          <w:b/>
          <w:bCs/>
          <w:snapToGrid w:val="0"/>
          <w:kern w:val="0"/>
          <w:sz w:val="24"/>
          <w:szCs w:val="28"/>
          <w:lang w:val="en-US"/>
        </w:rPr>
        <w:t>R2-1800456</w:t>
      </w:r>
    </w:p>
    <w:p>
      <w:pPr>
        <w:overflowPunct w:val="0"/>
        <w:autoSpaceDE w:val="0"/>
        <w:autoSpaceDN w:val="0"/>
        <w:adjustRightInd w:val="0"/>
        <w:snapToGrid w:val="0"/>
        <w:jc w:val="left"/>
        <w:textAlignment w:val="baseline"/>
        <w:rPr>
          <w:rFonts w:ascii="Arial" w:hAnsi="Arial"/>
          <w:b/>
          <w:sz w:val="24"/>
          <w:szCs w:val="24"/>
          <w:lang w:eastAsia="zh-CN"/>
        </w:rPr>
      </w:pPr>
      <w:r>
        <w:rPr>
          <w:rFonts w:ascii="Arial" w:hAnsi="Arial"/>
          <w:b/>
          <w:sz w:val="24"/>
          <w:szCs w:val="24"/>
          <w:lang w:val="en-GB" w:eastAsia="zh-CN"/>
        </w:rPr>
        <w:t>Vancouver, Canada, 22 - 26 Jan 2018</w:t>
      </w:r>
      <w:r>
        <w:rPr>
          <w:rFonts w:ascii="Arial" w:hAnsi="Arial"/>
          <w:b/>
          <w:sz w:val="24"/>
          <w:szCs w:val="24"/>
          <w:lang w:eastAsia="zh-CN"/>
        </w:rPr>
        <w:t xml:space="preserve"> </w:t>
      </w:r>
    </w:p>
    <w:p>
      <w:pPr>
        <w:overflowPunct w:val="0"/>
        <w:autoSpaceDE w:val="0"/>
        <w:autoSpaceDN w:val="0"/>
        <w:adjustRightInd w:val="0"/>
        <w:snapToGrid w:val="0"/>
        <w:jc w:val="left"/>
        <w:textAlignment w:val="baseline"/>
        <w:rPr>
          <w:rFonts w:ascii="Arial" w:hAnsi="Arial"/>
          <w:b/>
          <w:sz w:val="24"/>
          <w:szCs w:val="24"/>
          <w:lang w:eastAsia="zh-CN"/>
        </w:rPr>
      </w:pPr>
    </w:p>
    <w:p>
      <w:pPr>
        <w:overflowPunct w:val="0"/>
        <w:autoSpaceDE w:val="0"/>
        <w:autoSpaceDN w:val="0"/>
        <w:adjustRightInd w:val="0"/>
        <w:snapToGrid w:val="0"/>
        <w:jc w:val="left"/>
        <w:textAlignment w:val="baseline"/>
        <w:rPr>
          <w:rFonts w:ascii="Arial" w:hAnsi="Arial"/>
          <w:b/>
          <w:sz w:val="24"/>
          <w:szCs w:val="24"/>
          <w:lang w:eastAsia="zh-CN"/>
        </w:rPr>
      </w:pPr>
    </w:p>
    <w:p>
      <w:pPr>
        <w:overflowPunct w:val="0"/>
        <w:autoSpaceDE w:val="0"/>
        <w:autoSpaceDN w:val="0"/>
        <w:adjustRightInd w:val="0"/>
        <w:snapToGrid w:val="0"/>
        <w:jc w:val="left"/>
        <w:textAlignment w:val="baseline"/>
        <w:rPr>
          <w:rFonts w:ascii="Arial" w:hAnsi="Arial" w:cs="Arial"/>
          <w:b/>
          <w:bCs/>
          <w:snapToGrid w:val="0"/>
          <w:kern w:val="0"/>
          <w:sz w:val="24"/>
          <w:szCs w:val="28"/>
        </w:rPr>
      </w:pPr>
      <w:r>
        <w:rPr>
          <w:rFonts w:ascii="Arial" w:hAnsi="Arial" w:cs="Arial"/>
          <w:b/>
          <w:bCs/>
          <w:snapToGrid w:val="0"/>
          <w:kern w:val="0"/>
          <w:sz w:val="24"/>
          <w:szCs w:val="28"/>
        </w:rPr>
        <w:t>Source:</w:t>
      </w:r>
      <w:r>
        <w:rPr>
          <w:rFonts w:ascii="Arial" w:hAnsi="Arial" w:cs="Arial"/>
          <w:b/>
          <w:bCs/>
          <w:snapToGrid w:val="0"/>
          <w:kern w:val="0"/>
          <w:sz w:val="24"/>
          <w:szCs w:val="28"/>
        </w:rPr>
        <w:tab/>
      </w:r>
      <w:r>
        <w:rPr>
          <w:rFonts w:ascii="Arial" w:hAnsi="Arial" w:cs="Arial"/>
          <w:b/>
          <w:bCs/>
          <w:snapToGrid w:val="0"/>
          <w:kern w:val="0"/>
          <w:sz w:val="24"/>
          <w:szCs w:val="28"/>
        </w:rPr>
        <w:tab/>
      </w:r>
      <w:r>
        <w:rPr>
          <w:rFonts w:ascii="Arial" w:hAnsi="Arial" w:cs="Arial"/>
          <w:b/>
          <w:bCs/>
          <w:snapToGrid w:val="0"/>
          <w:kern w:val="0"/>
          <w:sz w:val="24"/>
          <w:szCs w:val="28"/>
        </w:rPr>
        <w:tab/>
      </w:r>
      <w:r>
        <w:rPr>
          <w:rFonts w:hint="eastAsia" w:ascii="Arial" w:hAnsi="Arial" w:cs="Arial"/>
          <w:b/>
          <w:bCs/>
          <w:snapToGrid w:val="0"/>
          <w:kern w:val="0"/>
          <w:sz w:val="24"/>
          <w:szCs w:val="28"/>
        </w:rPr>
        <w:t>ZTE Corporation, Sanechips</w:t>
      </w:r>
    </w:p>
    <w:p>
      <w:pPr>
        <w:overflowPunct w:val="0"/>
        <w:autoSpaceDE w:val="0"/>
        <w:autoSpaceDN w:val="0"/>
        <w:adjustRightInd w:val="0"/>
        <w:snapToGrid w:val="0"/>
        <w:jc w:val="left"/>
        <w:textAlignment w:val="baseline"/>
        <w:rPr>
          <w:rFonts w:ascii="Arial" w:hAnsi="Arial" w:cs="Arial"/>
          <w:b/>
          <w:bCs/>
          <w:snapToGrid w:val="0"/>
          <w:kern w:val="0"/>
          <w:sz w:val="24"/>
          <w:szCs w:val="28"/>
        </w:rPr>
      </w:pPr>
      <w:r>
        <w:rPr>
          <w:rFonts w:ascii="Arial" w:hAnsi="Arial" w:cs="Arial"/>
          <w:b/>
          <w:bCs/>
          <w:snapToGrid w:val="0"/>
          <w:kern w:val="0"/>
          <w:sz w:val="24"/>
          <w:szCs w:val="28"/>
        </w:rPr>
        <w:t>Title:</w:t>
      </w:r>
      <w:r>
        <w:rPr>
          <w:rFonts w:ascii="Arial" w:hAnsi="Arial" w:cs="Arial"/>
          <w:b/>
          <w:bCs/>
          <w:snapToGrid w:val="0"/>
          <w:kern w:val="0"/>
          <w:sz w:val="24"/>
          <w:szCs w:val="28"/>
        </w:rPr>
        <w:tab/>
      </w:r>
      <w:r>
        <w:rPr>
          <w:rFonts w:ascii="Arial" w:hAnsi="Arial" w:cs="Arial"/>
          <w:b/>
          <w:bCs/>
          <w:snapToGrid w:val="0"/>
          <w:kern w:val="0"/>
          <w:sz w:val="24"/>
          <w:szCs w:val="28"/>
        </w:rPr>
        <w:tab/>
      </w:r>
      <w:r>
        <w:rPr>
          <w:rFonts w:ascii="Arial" w:hAnsi="Arial" w:cs="Arial"/>
          <w:b/>
          <w:bCs/>
          <w:snapToGrid w:val="0"/>
          <w:kern w:val="0"/>
          <w:sz w:val="24"/>
          <w:szCs w:val="28"/>
        </w:rPr>
        <w:tab/>
      </w:r>
      <w:r>
        <w:rPr>
          <w:rFonts w:ascii="Arial" w:hAnsi="Arial" w:cs="Arial"/>
          <w:b/>
          <w:bCs/>
          <w:snapToGrid w:val="0"/>
          <w:kern w:val="0"/>
          <w:sz w:val="24"/>
          <w:szCs w:val="28"/>
        </w:rPr>
        <w:tab/>
      </w:r>
      <w:r>
        <w:rPr>
          <w:rFonts w:ascii="Arial" w:hAnsi="Arial" w:cs="Arial"/>
          <w:b/>
          <w:bCs/>
          <w:snapToGrid w:val="0"/>
          <w:kern w:val="0"/>
          <w:sz w:val="24"/>
          <w:szCs w:val="28"/>
          <w:lang w:val="en-US"/>
        </w:rPr>
        <w:t>Consideration</w:t>
      </w:r>
      <w:r>
        <w:rPr>
          <w:rFonts w:ascii="Arial" w:hAnsi="Arial" w:cs="Arial"/>
          <w:b/>
          <w:bCs/>
          <w:snapToGrid w:val="0"/>
          <w:kern w:val="0"/>
          <w:sz w:val="24"/>
          <w:szCs w:val="28"/>
        </w:rPr>
        <w:t xml:space="preserve"> on p</w:t>
      </w:r>
      <w:r>
        <w:rPr>
          <w:rFonts w:hint="eastAsia" w:ascii="Arial" w:hAnsi="Arial" w:cs="Arial"/>
          <w:b/>
          <w:bCs/>
          <w:snapToGrid w:val="0"/>
          <w:kern w:val="0"/>
          <w:sz w:val="24"/>
          <w:szCs w:val="28"/>
        </w:rPr>
        <w:t>eriodic RAN area update procedure</w:t>
      </w:r>
    </w:p>
    <w:p>
      <w:pPr>
        <w:overflowPunct w:val="0"/>
        <w:autoSpaceDE w:val="0"/>
        <w:autoSpaceDN w:val="0"/>
        <w:adjustRightInd w:val="0"/>
        <w:snapToGrid w:val="0"/>
        <w:jc w:val="left"/>
        <w:textAlignment w:val="baseline"/>
        <w:rPr>
          <w:rFonts w:ascii="Arial" w:hAnsi="Arial" w:cs="Arial"/>
          <w:b/>
          <w:bCs/>
          <w:snapToGrid w:val="0"/>
          <w:kern w:val="0"/>
          <w:sz w:val="24"/>
          <w:szCs w:val="28"/>
        </w:rPr>
      </w:pPr>
      <w:r>
        <w:rPr>
          <w:rFonts w:ascii="Arial" w:hAnsi="Arial" w:cs="Arial"/>
          <w:b/>
          <w:bCs/>
          <w:snapToGrid w:val="0"/>
          <w:kern w:val="0"/>
          <w:sz w:val="24"/>
          <w:szCs w:val="28"/>
        </w:rPr>
        <w:t>Agenda item:</w:t>
      </w:r>
      <w:bookmarkStart w:id="0" w:name="Source"/>
      <w:bookmarkEnd w:id="0"/>
      <w:r>
        <w:rPr>
          <w:rFonts w:ascii="Arial" w:hAnsi="Arial" w:cs="Arial"/>
          <w:b/>
          <w:bCs/>
          <w:snapToGrid w:val="0"/>
          <w:kern w:val="0"/>
          <w:sz w:val="24"/>
          <w:szCs w:val="28"/>
        </w:rPr>
        <w:tab/>
      </w:r>
      <w:r>
        <w:rPr>
          <w:rFonts w:ascii="Arial" w:hAnsi="Arial" w:cs="Arial"/>
          <w:b/>
          <w:bCs/>
          <w:snapToGrid w:val="0"/>
          <w:kern w:val="0"/>
          <w:sz w:val="24"/>
          <w:szCs w:val="28"/>
        </w:rPr>
        <w:tab/>
      </w:r>
      <w:r>
        <w:rPr>
          <w:rFonts w:hint="eastAsia" w:ascii="Arial" w:hAnsi="Arial" w:cs="Arial"/>
          <w:b/>
          <w:bCs/>
          <w:snapToGrid w:val="0"/>
          <w:kern w:val="0"/>
          <w:sz w:val="24"/>
          <w:szCs w:val="28"/>
        </w:rPr>
        <w:t>10.4.1.7.6</w:t>
      </w:r>
    </w:p>
    <w:p>
      <w:pPr>
        <w:overflowPunct w:val="0"/>
        <w:autoSpaceDE w:val="0"/>
        <w:autoSpaceDN w:val="0"/>
        <w:adjustRightInd w:val="0"/>
        <w:snapToGrid w:val="0"/>
        <w:jc w:val="left"/>
        <w:textAlignment w:val="baseline"/>
        <w:rPr>
          <w:rFonts w:ascii="Arial" w:hAnsi="Arial" w:cs="Arial"/>
          <w:b/>
          <w:bCs/>
          <w:snapToGrid w:val="0"/>
          <w:kern w:val="0"/>
          <w:sz w:val="24"/>
          <w:szCs w:val="28"/>
        </w:rPr>
      </w:pPr>
      <w:r>
        <w:rPr>
          <w:rFonts w:ascii="Arial" w:hAnsi="Arial" w:cs="Arial"/>
          <w:b/>
          <w:bCs/>
          <w:snapToGrid w:val="0"/>
          <w:kern w:val="0"/>
          <w:sz w:val="24"/>
          <w:szCs w:val="28"/>
        </w:rPr>
        <w:t>Document for:</w:t>
      </w:r>
      <w:bookmarkStart w:id="1" w:name="DocumentFor"/>
      <w:bookmarkEnd w:id="1"/>
      <w:r>
        <w:rPr>
          <w:rFonts w:ascii="Arial" w:hAnsi="Arial" w:cs="Arial"/>
          <w:b/>
          <w:bCs/>
          <w:snapToGrid w:val="0"/>
          <w:kern w:val="0"/>
          <w:sz w:val="24"/>
          <w:szCs w:val="28"/>
        </w:rPr>
        <w:tab/>
      </w:r>
      <w:r>
        <w:rPr>
          <w:rFonts w:ascii="Arial" w:hAnsi="Arial" w:cs="Arial"/>
          <w:b/>
          <w:bCs/>
          <w:snapToGrid w:val="0"/>
          <w:kern w:val="0"/>
          <w:sz w:val="24"/>
          <w:szCs w:val="28"/>
        </w:rPr>
        <w:tab/>
      </w:r>
      <w:r>
        <w:rPr>
          <w:rFonts w:ascii="Arial" w:hAnsi="Arial" w:cs="Arial"/>
          <w:b/>
          <w:bCs/>
          <w:snapToGrid w:val="0"/>
          <w:kern w:val="0"/>
          <w:sz w:val="24"/>
          <w:szCs w:val="28"/>
        </w:rPr>
        <w:t>Discussion</w:t>
      </w:r>
      <w:r>
        <w:rPr>
          <w:rFonts w:hint="eastAsia" w:ascii="Arial" w:hAnsi="Arial" w:cs="Arial"/>
          <w:b/>
          <w:bCs/>
          <w:snapToGrid w:val="0"/>
          <w:kern w:val="0"/>
          <w:sz w:val="24"/>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t>I</w:t>
      </w:r>
      <w:r>
        <w:rPr>
          <w:rFonts w:hint="eastAsia"/>
        </w:rPr>
        <w:t xml:space="preserve">n RAN2#98 </w:t>
      </w:r>
      <w:r>
        <w:t>meeting, it is agreed that a UE in RRC_INACTIVE notifies the NR RAN of RAN-based location area update (RLAU) via a resume procedure periodically when a configured timer expires</w:t>
      </w:r>
      <w:r>
        <w:rPr>
          <w:rFonts w:hint="eastAsia"/>
        </w:rPr>
        <w:t xml:space="preserve"> [1]</w:t>
      </w:r>
      <w:r>
        <w:t xml:space="preserve">. </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Agreements:</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1</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Define RRC_INACTIVE as a new RRC state in NR.</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2</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 xml:space="preserve">A UE in RRC_INACTIVE notifies the NR RAN of RAN-based location area update (RLAU) via a resume procedure when re-selecting to a cell not belonging to the configured RAN-based notification area (RNA) and periodically. </w:t>
      </w:r>
    </w:p>
    <w:p/>
    <w:p>
      <w:pPr>
        <w:rPr>
          <w:rFonts w:hint="eastAsia"/>
          <w:lang w:val="en-GB"/>
        </w:rPr>
      </w:pPr>
      <w:r>
        <w:t xml:space="preserve">If a UE initiate periodic RLAU in a cell belonging to gNB other than </w:t>
      </w:r>
      <w:r>
        <w:rPr>
          <w:rFonts w:hint="eastAsia"/>
        </w:rPr>
        <w:t xml:space="preserve">its </w:t>
      </w:r>
      <w:r>
        <w:t xml:space="preserve">anchor gNB, </w:t>
      </w:r>
      <w:r>
        <w:rPr>
          <w:rFonts w:hint="eastAsia"/>
        </w:rPr>
        <w:t>it is still not clear whether UE context is relocated to the new gNB</w:t>
      </w:r>
      <w:r>
        <w:t>.</w:t>
      </w:r>
      <w:r>
        <w:rPr>
          <w:rFonts w:hint="eastAsia"/>
          <w:lang w:val="en-GB"/>
        </w:rPr>
        <w:t xml:space="preserve"> </w:t>
      </w:r>
      <w:r>
        <w:rPr>
          <w:lang w:val="en-GB"/>
        </w:rPr>
        <w:t>O</w:t>
      </w:r>
      <w:r>
        <w:rPr>
          <w:rFonts w:hint="eastAsia"/>
          <w:lang w:val="en-GB"/>
        </w:rPr>
        <w:t xml:space="preserve">ne of the concerns about this issue is the </w:t>
      </w:r>
      <w:r>
        <w:rPr>
          <w:lang w:val="en-US"/>
        </w:rPr>
        <w:t>signaling</w:t>
      </w:r>
      <w:r>
        <w:rPr>
          <w:rFonts w:hint="eastAsia"/>
          <w:lang w:val="en-GB"/>
        </w:rPr>
        <w:t xml:space="preserve"> overhead caused by path switch if UE context relocation is performed</w:t>
      </w:r>
      <w:r>
        <w:rPr>
          <w:rFonts w:hint="default"/>
          <w:lang w:val="en-US"/>
        </w:rPr>
        <w:t xml:space="preserve"> frequently</w:t>
      </w:r>
      <w:r>
        <w:rPr>
          <w:rFonts w:hint="eastAsia"/>
          <w:lang w:val="en-GB"/>
        </w:rPr>
        <w:t>.</w:t>
      </w:r>
    </w:p>
    <w:p>
      <w:pPr>
        <w:rPr>
          <w:rFonts w:hint="eastAsia"/>
          <w:lang w:val="en-GB"/>
        </w:rPr>
      </w:pPr>
    </w:p>
    <w:p>
      <w:pPr>
        <w:rPr>
          <w:lang w:val="en-US"/>
        </w:rPr>
      </w:pPr>
      <w:r>
        <w:rPr>
          <w:lang w:val="en-US"/>
        </w:rPr>
        <w:t>Further, conclusion in RAN2#99bis on RRC procedures will impact the decision[2]:</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Agreements</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1</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A UE in INACTIVE, trying to resume an RRC connection, can receive MSG4 sent over SRB0 (without Integrity protection) to move the UE back into INACTIVE (i.e. rejected with wait timer).</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2</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INACTIVE related parameters/configuration should not be updated by a MSG4 sent over SRB0 (as it is a non-protected message).</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3</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A UE in INACTIVE, trying to resume an RRC connection, can receive MSG4 sent over SRB1 with at least integrity protection to move the UE back into INACTIVE (i.e. not rejected). (RNA update use case)</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4</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5</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A UE in INACTIVE, trying to resume the RRC connection, can receive MSG4 sent over SRB1 with at least integrity protection to move the UE into IDLE.</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5.1</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This MSG4 (i.e. SRB1 release to IDLE) can carry same information as RRC Connection release kind of message (e.g. priority, redirect information, idle mode mobility control information, cause and idle mode re-selection information).</w:t>
      </w:r>
    </w:p>
    <w:p>
      <w:pPr>
        <w:pStyle w:val="82"/>
        <w:pBdr>
          <w:top w:val="single" w:color="auto" w:sz="4" w:space="1"/>
          <w:left w:val="single" w:color="auto" w:sz="4" w:space="4"/>
          <w:bottom w:val="single" w:color="auto" w:sz="4" w:space="1"/>
          <w:right w:val="single" w:color="auto" w:sz="4" w:space="4"/>
        </w:pBdr>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6</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UE in INACTIVE, trying to resume an RRC connection, cannot receive MSG4 sent over SRB0 (without Integrity protection) to move the UE into IDLE to stay in IDLE (i.e. not precluding use of fallback to RRC Connection Establishment).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r>
        <w:rPr>
          <w:rFonts w:hint="default"/>
          <w:lang w:val="en-US"/>
        </w:rPr>
        <w:t>I</w:t>
      </w:r>
      <w:r>
        <w:rPr>
          <w:rFonts w:hint="eastAsia"/>
        </w:rPr>
        <w:t xml:space="preserve">t is </w:t>
      </w:r>
      <w:r>
        <w:t>reasonable</w:t>
      </w:r>
      <w:r>
        <w:rPr>
          <w:rFonts w:hint="eastAsia"/>
        </w:rPr>
        <w:t xml:space="preserve"> to assume that there will be more UEs in RRC_INACTIVE than in RR_CONNECTED. If path switch is performed each time UE initiate resume from a new serving gNB for periodic RAN notification area update, the signaling overhead of CN will increase significantly.</w:t>
      </w:r>
    </w:p>
    <w:p>
      <w:r>
        <w:t>However</w:t>
      </w:r>
      <w:r>
        <w:rPr>
          <w:rFonts w:hint="eastAsia"/>
        </w:rPr>
        <w:t>, whether UE context relocation is necessary depends on multiple factors.</w:t>
      </w:r>
    </w:p>
    <w:p/>
    <w:p>
      <w:r>
        <w:t>T</w:t>
      </w:r>
      <w:r>
        <w:rPr>
          <w:rFonts w:hint="eastAsia"/>
        </w:rPr>
        <w:t>he first factor is UE</w:t>
      </w:r>
      <w:r>
        <w:t>’</w:t>
      </w:r>
      <w:r>
        <w:rPr>
          <w:rFonts w:hint="eastAsia"/>
        </w:rPr>
        <w:t xml:space="preserve">s following RRC state after periodic RLAU. According to documents in </w:t>
      </w:r>
      <w:r>
        <w:rPr>
          <w:rFonts w:hint="default"/>
          <w:lang w:val="en-US"/>
        </w:rPr>
        <w:t xml:space="preserve">previous </w:t>
      </w:r>
      <w:r>
        <w:rPr>
          <w:rFonts w:hint="eastAsia"/>
        </w:rPr>
        <w:t>RAN2 meeting</w:t>
      </w:r>
      <w:r>
        <w:rPr>
          <w:rFonts w:hint="default"/>
          <w:lang w:val="en-US"/>
        </w:rPr>
        <w:t>s</w:t>
      </w:r>
      <w:r>
        <w:rPr>
          <w:rFonts w:hint="eastAsia"/>
        </w:rPr>
        <w:t xml:space="preserve">, </w:t>
      </w:r>
      <w:r>
        <w:t>network may move UE into different RRC states according to different conditions on reception of a periodic RLAU[3][4]</w:t>
      </w:r>
      <w:r>
        <w:rPr>
          <w:rFonts w:hint="eastAsia"/>
        </w:rPr>
        <w:t>:</w:t>
      </w:r>
    </w:p>
    <w:p>
      <w:pPr>
        <w:pStyle w:val="67"/>
        <w:numPr>
          <w:ilvl w:val="0"/>
          <w:numId w:val="4"/>
        </w:numPr>
        <w:ind w:firstLineChars="0"/>
      </w:pPr>
      <w:r>
        <w:rPr>
          <w:rFonts w:hint="default"/>
          <w:lang w:val="en-US"/>
        </w:rPr>
        <w:t xml:space="preserve">Case 1: </w:t>
      </w:r>
      <w:r>
        <w:rPr>
          <w:rFonts w:hint="eastAsia"/>
        </w:rPr>
        <w:t>D</w:t>
      </w:r>
      <w:r>
        <w:t>ue to RRM reason, the UE may also be moved to RRC_IDLE.</w:t>
      </w:r>
    </w:p>
    <w:p>
      <w:pPr>
        <w:pStyle w:val="67"/>
        <w:numPr>
          <w:ilvl w:val="0"/>
          <w:numId w:val="4"/>
        </w:numPr>
        <w:ind w:firstLineChars="0"/>
      </w:pPr>
      <w:r>
        <w:rPr>
          <w:lang w:val="en-US"/>
        </w:rPr>
        <w:t xml:space="preserve">Case 2: </w:t>
      </w:r>
      <w:r>
        <w:t xml:space="preserve">If there are pending data or signaling in network side, the UE </w:t>
      </w:r>
      <w:r>
        <w:rPr>
          <w:rFonts w:hint="eastAsia"/>
        </w:rPr>
        <w:t>should</w:t>
      </w:r>
      <w:r>
        <w:t xml:space="preserve"> be moved to RRC_CONNECTED </w:t>
      </w:r>
      <w:r>
        <w:rPr>
          <w:rFonts w:hint="eastAsia"/>
        </w:rPr>
        <w:t xml:space="preserve">for </w:t>
      </w:r>
      <w:r>
        <w:rPr>
          <w:rFonts w:hint="default"/>
          <w:lang w:val="en-US"/>
        </w:rPr>
        <w:t xml:space="preserve">transmitting </w:t>
      </w:r>
      <w:r>
        <w:t>pending data or signaling.</w:t>
      </w:r>
    </w:p>
    <w:p>
      <w:pPr>
        <w:pStyle w:val="67"/>
        <w:numPr>
          <w:ilvl w:val="0"/>
          <w:numId w:val="4"/>
        </w:numPr>
        <w:ind w:firstLineChars="0"/>
      </w:pPr>
      <w:r>
        <w:rPr>
          <w:lang w:val="en-US"/>
        </w:rPr>
        <w:t xml:space="preserve">Case 3: </w:t>
      </w:r>
      <w:r>
        <w:t>In normal cases, UE is most likely moved back to RRC_INACTIV</w:t>
      </w:r>
      <w:r>
        <w:rPr>
          <w:lang w:val="en-US"/>
        </w:rPr>
        <w:t>E.</w:t>
      </w:r>
    </w:p>
    <w:p>
      <w:pPr>
        <w:pStyle w:val="67"/>
        <w:numPr>
          <w:ilvl w:val="0"/>
          <w:numId w:val="4"/>
        </w:numPr>
        <w:ind w:firstLineChars="0"/>
        <w:rPr>
          <w:lang w:val="en-US"/>
        </w:rPr>
      </w:pPr>
      <w:r>
        <w:rPr>
          <w:lang w:val="en-US"/>
        </w:rPr>
        <w:t xml:space="preserve">Case 4: </w:t>
      </w:r>
      <w:r>
        <w:t xml:space="preserve">If the context retrieve fails, e.g. there is no UE context or authentication failure, the UE may be indicated to release stored context and </w:t>
      </w:r>
      <w:r>
        <w:rPr>
          <w:lang w:val="en-US"/>
        </w:rPr>
        <w:t xml:space="preserve">to </w:t>
      </w:r>
      <w:r>
        <w:t>setup RRC connection again.</w:t>
      </w:r>
    </w:p>
    <w:p>
      <w:pPr>
        <w:rPr>
          <w:lang w:val="en-US"/>
        </w:rPr>
      </w:pPr>
      <w:r>
        <w:rPr>
          <w:lang w:val="en-US"/>
        </w:rPr>
        <w:t>It is obviously that UE context relocation should be performed in case 1 and case 2 when UE is moved into RRC_IDLE or RRC_CONNECTED.</w:t>
      </w:r>
    </w:p>
    <w:p/>
    <w:p>
      <w:pPr>
        <w:rPr>
          <w:lang w:val="en-US"/>
        </w:rPr>
      </w:pPr>
      <w:r>
        <w:rPr>
          <w:lang w:val="en-US"/>
        </w:rPr>
        <w:t xml:space="preserve">While for case 3 when UE is moved back to RRC_INACTIVE, whether UE context relocation is necessary depends on UE mobility behavior and whether UE configuration is to be changed. </w:t>
      </w:r>
    </w:p>
    <w:p>
      <w:r>
        <w:rPr>
          <w:rFonts w:hint="default"/>
          <w:lang w:val="en-US"/>
        </w:rPr>
        <w:t>I</w:t>
      </w:r>
      <w:r>
        <w:t xml:space="preserve">n some district, UE just pass through the area. In this case, it is preferred to perform </w:t>
      </w:r>
      <w:r>
        <w:rPr>
          <w:rFonts w:hint="eastAsia"/>
        </w:rPr>
        <w:t xml:space="preserve">UE </w:t>
      </w:r>
      <w:r>
        <w:t xml:space="preserve">context relocation </w:t>
      </w:r>
      <w:r>
        <w:rPr>
          <w:rFonts w:hint="eastAsia"/>
        </w:rPr>
        <w:t>when</w:t>
      </w:r>
      <w:r>
        <w:t xml:space="preserve"> UE initiat</w:t>
      </w:r>
      <w:r>
        <w:rPr>
          <w:rFonts w:hint="eastAsia"/>
        </w:rPr>
        <w:t>e</w:t>
      </w:r>
      <w:r>
        <w:t xml:space="preserve"> periodic RLAU </w:t>
      </w:r>
      <w:r>
        <w:rPr>
          <w:rFonts w:hint="default"/>
          <w:lang w:val="en-US"/>
        </w:rPr>
        <w:t>to</w:t>
      </w:r>
      <w:r>
        <w:rPr>
          <w:rFonts w:hint="eastAsia"/>
        </w:rPr>
        <w:t xml:space="preserve"> </w:t>
      </w:r>
      <w:r>
        <w:t>a new gNB</w:t>
      </w:r>
      <w:r>
        <w:rPr>
          <w:lang w:val="en-US"/>
        </w:rPr>
        <w:t xml:space="preserve"> in case there is no direct connection from its new serving gNB to its </w:t>
      </w:r>
      <w:r>
        <w:t>old anchor gNB</w:t>
      </w:r>
      <w:r>
        <w:rPr>
          <w:lang w:val="en-US"/>
        </w:rPr>
        <w:t xml:space="preserve"> when it moves out of old RNA</w:t>
      </w:r>
      <w:r>
        <w:t>.</w:t>
      </w:r>
    </w:p>
    <w:p>
      <w:pPr>
        <w:rPr>
          <w:lang w:val="en-US"/>
        </w:rPr>
      </w:pPr>
      <w:r>
        <w:t xml:space="preserve">On the other side, if the UE moves </w:t>
      </w:r>
      <w:r>
        <w:rPr>
          <w:rFonts w:hint="eastAsia"/>
        </w:rPr>
        <w:t xml:space="preserve">around </w:t>
      </w:r>
      <w:r>
        <w:t xml:space="preserve">within its configured RNA, </w:t>
      </w:r>
      <w:r>
        <w:rPr>
          <w:lang w:val="en-US"/>
        </w:rPr>
        <w:t>UE may access new gNB other than its anchor gNB frequently. And it is most likely its following RRC state is also RRC_INACTIVE without configuration changed.</w:t>
      </w:r>
    </w:p>
    <w:p>
      <w:r>
        <w:t>F</w:t>
      </w:r>
      <w:r>
        <w:rPr>
          <w:rFonts w:hint="eastAsia"/>
        </w:rPr>
        <w:t>ollowing figure 1 illustrates these 2 example cases.</w:t>
      </w:r>
    </w:p>
    <w:p/>
    <w:p>
      <w:pPr>
        <w:jc w:val="center"/>
      </w:pPr>
      <w:r>
        <w:object>
          <v:shape id="_x0000_i1025" o:spt="75" type="#_x0000_t75" style="height:128.8pt;width:458.1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pPr>
      <w:r>
        <w:t xml:space="preserve">Figure 1: </w:t>
      </w:r>
      <w:r>
        <w:rPr>
          <w:rFonts w:hint="eastAsia"/>
        </w:rPr>
        <w:t xml:space="preserve">Example: </w:t>
      </w:r>
      <w:r>
        <w:t>UE moves around within and move thr</w:t>
      </w:r>
      <w:bookmarkStart w:id="2" w:name="_GoBack"/>
      <w:bookmarkEnd w:id="2"/>
      <w:r>
        <w:t>ough its configured RNA</w:t>
      </w:r>
    </w:p>
    <w:p>
      <w:pPr>
        <w:rPr>
          <w:b/>
          <w:bCs/>
          <w:i w:val="0"/>
          <w:iCs w:val="0"/>
          <w:lang w:val="en-US"/>
        </w:rPr>
      </w:pPr>
      <w:r>
        <w:rPr>
          <w:b/>
          <w:bCs/>
          <w:i w:val="0"/>
          <w:iCs w:val="0"/>
          <w:lang w:val="en-US"/>
        </w:rPr>
        <w:t>Observation 1: There are cases UE configuration will not be changed when it is moved back to RRC_INACTIVE</w:t>
      </w:r>
      <w:r>
        <w:rPr>
          <w:rFonts w:hint="default"/>
          <w:b/>
          <w:bCs/>
          <w:i w:val="0"/>
          <w:iCs w:val="0"/>
          <w:lang w:val="en-US"/>
        </w:rPr>
        <w:t>.</w:t>
      </w:r>
    </w:p>
    <w:p>
      <w:pPr>
        <w:rPr>
          <w:lang w:val="en-US"/>
        </w:rPr>
      </w:pPr>
    </w:p>
    <w:p>
      <w:pPr>
        <w:rPr>
          <w:rFonts w:hint="default"/>
          <w:lang w:val="en-US"/>
        </w:rPr>
      </w:pPr>
      <w:r>
        <w:rPr>
          <w:lang w:val="en-US"/>
        </w:rPr>
        <w:t xml:space="preserve">According to the agreements in RAN2#99bis, MSG4 are required at least integrity protected over SRB1 except when UE is moved back into RRC_INACTIVE and configuration is not changed.There are kinds of proposals on the procedure if UE context is not relocated for these cases in previous meetings. One of the main problem is how to handle security key issues, i.e. either anchor gNB generate </w:t>
      </w:r>
      <w:r>
        <w:rPr>
          <w:rFonts w:hint="default"/>
          <w:lang w:val="en-US"/>
        </w:rPr>
        <w:t>“new key” to be used in serving gNB or serving gNB use security context temporarily. All of such solutions are not straightforward or too complicated for network implementation.</w:t>
      </w:r>
    </w:p>
    <w:p>
      <w:pPr>
        <w:rPr>
          <w:b w:val="0"/>
          <w:bCs w:val="0"/>
          <w:lang w:val="en-US"/>
        </w:rPr>
      </w:pPr>
      <w:r>
        <w:rPr>
          <w:b w:val="0"/>
          <w:bCs w:val="0"/>
          <w:lang w:val="en-US"/>
        </w:rPr>
        <w:t>While in the case that a MSG4 over SRB0 is used to move UE back into RRC_INACTIVE, the serving gNB can generate the MSG4 according to anchor gNB</w:t>
      </w:r>
      <w:r>
        <w:rPr>
          <w:rFonts w:hint="default"/>
          <w:b w:val="0"/>
          <w:bCs w:val="0"/>
          <w:lang w:val="en-US"/>
        </w:rPr>
        <w:t xml:space="preserve">’s response </w:t>
      </w:r>
      <w:r>
        <w:rPr>
          <w:b w:val="0"/>
          <w:bCs w:val="0"/>
          <w:lang w:val="en-US"/>
        </w:rPr>
        <w:t>without integrity protection or encryption processing. Thus it is much simpler for specification. According to observation 1 of this document, we think it is beneficial for the network to not perform UE context relocation when UE initiate periodic RLAU and a RRC resume reject message is used as MSG4 to move UE back into RRC_INACTIVE when UE configuration is not changed.</w:t>
      </w:r>
    </w:p>
    <w:p>
      <w:pPr>
        <w:rPr>
          <w:rFonts w:hint="eastAsia"/>
          <w:b/>
        </w:rPr>
      </w:pPr>
      <w:r>
        <w:rPr>
          <w:b/>
        </w:rPr>
        <w:t>P</w:t>
      </w:r>
      <w:r>
        <w:rPr>
          <w:rFonts w:hint="eastAsia"/>
          <w:b/>
        </w:rPr>
        <w:t xml:space="preserve">roposal </w:t>
      </w:r>
      <w:r>
        <w:rPr>
          <w:rFonts w:hint="default"/>
          <w:b/>
          <w:lang w:val="en-US"/>
        </w:rPr>
        <w:t>1</w:t>
      </w:r>
      <w:r>
        <w:rPr>
          <w:rFonts w:hint="eastAsia"/>
          <w:b/>
        </w:rPr>
        <w:t xml:space="preserve">: </w:t>
      </w:r>
      <w:r>
        <w:rPr>
          <w:rFonts w:hint="default"/>
          <w:b/>
          <w:lang w:val="en-US"/>
        </w:rPr>
        <w:t>On periodic RLAU, if UE is moved back into RRC_INACTIVE with MSG4 and UE configuration is not changed, UE context relocation is not performed. Otherwise, UE context is relocated to new serving gNB.</w:t>
      </w:r>
    </w:p>
    <w:p>
      <w:pPr>
        <w:rPr>
          <w:lang w:val="en-US"/>
        </w:rPr>
      </w:pPr>
    </w:p>
    <w:p>
      <w:r>
        <w:t xml:space="preserve">Because anchor gNB is assumed to have </w:t>
      </w:r>
      <w:r>
        <w:rPr>
          <w:rFonts w:hint="eastAsia"/>
        </w:rPr>
        <w:t xml:space="preserve">full </w:t>
      </w:r>
      <w:r>
        <w:t xml:space="preserve">knowledge </w:t>
      </w:r>
      <w:r>
        <w:rPr>
          <w:rFonts w:hint="eastAsia"/>
        </w:rPr>
        <w:t>of</w:t>
      </w:r>
      <w:r>
        <w:t xml:space="preserve"> UE behavior history, RNA configuration and whether there is pending data or signaling, it can decide following RRC state for the UE, </w:t>
      </w:r>
      <w:r>
        <w:rPr>
          <w:lang w:val="en-US"/>
        </w:rPr>
        <w:t xml:space="preserve">whether configuration needs to be changes, </w:t>
      </w:r>
      <w:r>
        <w:t xml:space="preserve">and then whether </w:t>
      </w:r>
      <w:r>
        <w:rPr>
          <w:rFonts w:hint="eastAsia"/>
        </w:rPr>
        <w:t xml:space="preserve">UE </w:t>
      </w:r>
      <w:r>
        <w:t xml:space="preserve">context relocation is </w:t>
      </w:r>
      <w:r>
        <w:rPr>
          <w:rFonts w:hint="eastAsia"/>
        </w:rPr>
        <w:t>performed for periodic RLAU procedure</w:t>
      </w:r>
      <w:r>
        <w:t>.</w:t>
      </w:r>
    </w:p>
    <w:p>
      <w:r>
        <w:rPr>
          <w:rFonts w:hint="eastAsia"/>
        </w:rPr>
        <w:t xml:space="preserve">If anchor decides to </w:t>
      </w:r>
      <w:r>
        <w:t xml:space="preserve">perform context relocation, </w:t>
      </w:r>
      <w:r>
        <w:rPr>
          <w:rFonts w:hint="eastAsia"/>
        </w:rPr>
        <w:t>and after the context is relocated to new anchor gNB, new anchor gNB can of course decide following RRC state according to its own network condition and RRM algorithm. UE history information and whether there is pending data/signaling can help new gNB make such decisions. And if new gNB suspend UE into RRC_INACTIVE, new anchor gNB should allocate new resume_ID and update RNA configuration for the UE.</w:t>
      </w:r>
    </w:p>
    <w:p>
      <w:pPr>
        <w:rPr>
          <w:b/>
        </w:rPr>
      </w:pPr>
      <w:r>
        <w:rPr>
          <w:b/>
        </w:rPr>
        <w:t xml:space="preserve">Proposal </w:t>
      </w:r>
      <w:r>
        <w:rPr>
          <w:b/>
          <w:lang w:val="en-US"/>
        </w:rPr>
        <w:t>2</w:t>
      </w:r>
      <w:r>
        <w:rPr>
          <w:b/>
        </w:rPr>
        <w:t>: Anchor gNB make</w:t>
      </w:r>
      <w:r>
        <w:rPr>
          <w:rFonts w:hint="eastAsia"/>
          <w:b/>
        </w:rPr>
        <w:t>s</w:t>
      </w:r>
      <w:r>
        <w:rPr>
          <w:b/>
        </w:rPr>
        <w:t xml:space="preserve"> decision </w:t>
      </w:r>
      <w:r>
        <w:rPr>
          <w:rFonts w:hint="eastAsia"/>
          <w:b/>
        </w:rPr>
        <w:t xml:space="preserve">on </w:t>
      </w:r>
      <w:r>
        <w:rPr>
          <w:b/>
        </w:rPr>
        <w:t xml:space="preserve">whether </w:t>
      </w:r>
      <w:r>
        <w:rPr>
          <w:rFonts w:hint="eastAsia"/>
          <w:b/>
        </w:rPr>
        <w:t xml:space="preserve">to </w:t>
      </w:r>
      <w:r>
        <w:rPr>
          <w:b/>
        </w:rPr>
        <w:t xml:space="preserve">perform UE context relocation </w:t>
      </w:r>
      <w:r>
        <w:rPr>
          <w:b/>
          <w:lang w:val="en-US"/>
        </w:rPr>
        <w:t>on</w:t>
      </w:r>
      <w:r>
        <w:rPr>
          <w:b/>
        </w:rPr>
        <w:t xml:space="preserve"> periodic RLAU.</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p>
    <w:p>
      <w:pPr>
        <w:rPr>
          <w:b/>
          <w:bCs/>
          <w:i w:val="0"/>
          <w:iCs w:val="0"/>
          <w:lang w:val="en-US"/>
        </w:rPr>
      </w:pPr>
      <w:r>
        <w:rPr>
          <w:b/>
          <w:bCs/>
          <w:i w:val="0"/>
          <w:iCs w:val="0"/>
          <w:lang w:val="en-US"/>
        </w:rPr>
        <w:t>Observation 1: There are cases UE configuration will not be changed when it is moved back to RRC_INACTIVE</w:t>
      </w:r>
      <w:r>
        <w:rPr>
          <w:rFonts w:hint="default"/>
          <w:b/>
          <w:bCs/>
          <w:i w:val="0"/>
          <w:iCs w:val="0"/>
          <w:lang w:val="en-US"/>
        </w:rPr>
        <w:t>.</w:t>
      </w:r>
    </w:p>
    <w:p>
      <w:pPr>
        <w:rPr>
          <w:rFonts w:hint="eastAsia"/>
          <w:b/>
        </w:rPr>
      </w:pPr>
      <w:r>
        <w:rPr>
          <w:b/>
        </w:rPr>
        <w:t>P</w:t>
      </w:r>
      <w:r>
        <w:rPr>
          <w:rFonts w:hint="eastAsia"/>
          <w:b/>
        </w:rPr>
        <w:t xml:space="preserve">roposal </w:t>
      </w:r>
      <w:r>
        <w:rPr>
          <w:rFonts w:hint="default"/>
          <w:b/>
          <w:lang w:val="en-US"/>
        </w:rPr>
        <w:t>1</w:t>
      </w:r>
      <w:r>
        <w:rPr>
          <w:rFonts w:hint="eastAsia"/>
          <w:b/>
        </w:rPr>
        <w:t xml:space="preserve">: </w:t>
      </w:r>
      <w:r>
        <w:rPr>
          <w:rFonts w:hint="default"/>
          <w:b/>
          <w:lang w:val="en-US"/>
        </w:rPr>
        <w:t>On periodic RLAU, if UE is moved back into RRC_INACTIVE with MSG4 and UE configuration is not changed, UE context relocation is not performed. Otherwise, UE context is relocated to new serving gNB.</w:t>
      </w:r>
    </w:p>
    <w:p>
      <w:pPr>
        <w:rPr>
          <w:b/>
        </w:rPr>
      </w:pPr>
      <w:r>
        <w:rPr>
          <w:b/>
        </w:rPr>
        <w:t xml:space="preserve">Proposal </w:t>
      </w:r>
      <w:r>
        <w:rPr>
          <w:b/>
          <w:lang w:val="en-US"/>
        </w:rPr>
        <w:t>2</w:t>
      </w:r>
      <w:r>
        <w:rPr>
          <w:b/>
        </w:rPr>
        <w:t>: Anchor gNB make</w:t>
      </w:r>
      <w:r>
        <w:rPr>
          <w:rFonts w:hint="eastAsia"/>
          <w:b/>
        </w:rPr>
        <w:t>s</w:t>
      </w:r>
      <w:r>
        <w:rPr>
          <w:b/>
        </w:rPr>
        <w:t xml:space="preserve"> decision </w:t>
      </w:r>
      <w:r>
        <w:rPr>
          <w:rFonts w:hint="eastAsia"/>
          <w:b/>
        </w:rPr>
        <w:t xml:space="preserve">on </w:t>
      </w:r>
      <w:r>
        <w:rPr>
          <w:b/>
        </w:rPr>
        <w:t xml:space="preserve">whether </w:t>
      </w:r>
      <w:r>
        <w:rPr>
          <w:rFonts w:hint="eastAsia"/>
          <w:b/>
        </w:rPr>
        <w:t xml:space="preserve">to </w:t>
      </w:r>
      <w:r>
        <w:rPr>
          <w:b/>
        </w:rPr>
        <w:t xml:space="preserve">perform UE context relocation </w:t>
      </w:r>
      <w:r>
        <w:rPr>
          <w:b/>
          <w:lang w:val="en-US"/>
        </w:rPr>
        <w:t>on</w:t>
      </w:r>
      <w:r>
        <w:rPr>
          <w:b/>
        </w:rPr>
        <w:t xml:space="preserve"> periodic RLAU.</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
        <w:t xml:space="preserve">[1] </w:t>
      </w:r>
      <w:r>
        <w:rPr>
          <w:rFonts w:hint="eastAsia"/>
        </w:rPr>
        <w:t>RAN2#9</w:t>
      </w:r>
      <w:r>
        <w:t>8</w:t>
      </w:r>
      <w:r>
        <w:rPr>
          <w:rFonts w:hint="eastAsia"/>
        </w:rPr>
        <w:t xml:space="preserve"> </w:t>
      </w:r>
      <w:r>
        <w:t>Chairman Notes</w:t>
      </w:r>
    </w:p>
    <w:p>
      <w:r>
        <w:rPr>
          <w:lang w:val="en-US"/>
        </w:rPr>
        <w:t>[2] RAN2#99bis Chairman Notes</w:t>
      </w:r>
    </w:p>
    <w:p>
      <w:r>
        <w:t>[3] R</w:t>
      </w:r>
      <w:r>
        <w:rPr>
          <w:rFonts w:hint="eastAsia"/>
        </w:rPr>
        <w:t>2</w:t>
      </w:r>
      <w:r>
        <w:t>-1</w:t>
      </w:r>
      <w:r>
        <w:rPr>
          <w:rFonts w:hint="eastAsia"/>
        </w:rPr>
        <w:t>704149</w:t>
      </w:r>
      <w:r>
        <w:t xml:space="preserve"> </w:t>
      </w:r>
      <w:r>
        <w:rPr>
          <w:rFonts w:hint="eastAsia"/>
        </w:rPr>
        <w:t xml:space="preserve">RRC procedures for the </w:t>
      </w:r>
      <w:r>
        <w:t>RAN notification area for NR, Samsung, RAN2#98</w:t>
      </w:r>
    </w:p>
    <w:p>
      <w:r>
        <w:t xml:space="preserve">[4] R2-1704120 </w:t>
      </w:r>
      <w:r>
        <w:rPr>
          <w:lang w:val="en-GB"/>
        </w:rPr>
        <w:t>RAN area updating due to mobility in RRC_INACTIVE, Ericsson</w:t>
      </w:r>
      <w:r>
        <w:t>, RAN2#98</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PMingLiU">
    <w:panose1 w:val="02020500000000000000"/>
    <w:charset w:val="88"/>
    <w:family w:val="roman"/>
    <w:pitch w:val="default"/>
    <w:sig w:usb0="A00002FF" w:usb1="28CFFCFA"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D171A43"/>
    <w:multiLevelType w:val="multilevel"/>
    <w:tmpl w:val="2D171A43"/>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103E7"/>
    <w:rsid w:val="00013FAD"/>
    <w:rsid w:val="00014F2A"/>
    <w:rsid w:val="0001611B"/>
    <w:rsid w:val="00017BA5"/>
    <w:rsid w:val="00021259"/>
    <w:rsid w:val="00021359"/>
    <w:rsid w:val="000248FC"/>
    <w:rsid w:val="0002660A"/>
    <w:rsid w:val="0002698B"/>
    <w:rsid w:val="00031526"/>
    <w:rsid w:val="00034C13"/>
    <w:rsid w:val="00035EF9"/>
    <w:rsid w:val="00037973"/>
    <w:rsid w:val="00040A63"/>
    <w:rsid w:val="0004105F"/>
    <w:rsid w:val="00041CB6"/>
    <w:rsid w:val="00042E6F"/>
    <w:rsid w:val="00043923"/>
    <w:rsid w:val="000563ED"/>
    <w:rsid w:val="00063491"/>
    <w:rsid w:val="0007093A"/>
    <w:rsid w:val="0007205B"/>
    <w:rsid w:val="0007558D"/>
    <w:rsid w:val="000755A8"/>
    <w:rsid w:val="00076B12"/>
    <w:rsid w:val="00082CAA"/>
    <w:rsid w:val="00084609"/>
    <w:rsid w:val="000875C4"/>
    <w:rsid w:val="0009084A"/>
    <w:rsid w:val="000915A4"/>
    <w:rsid w:val="00092939"/>
    <w:rsid w:val="00097209"/>
    <w:rsid w:val="00097368"/>
    <w:rsid w:val="000A204F"/>
    <w:rsid w:val="000A24E6"/>
    <w:rsid w:val="000A2D0A"/>
    <w:rsid w:val="000A53F5"/>
    <w:rsid w:val="000B21DA"/>
    <w:rsid w:val="000B25A2"/>
    <w:rsid w:val="000B31AA"/>
    <w:rsid w:val="000B38F6"/>
    <w:rsid w:val="000B780E"/>
    <w:rsid w:val="000C364E"/>
    <w:rsid w:val="000C5D4C"/>
    <w:rsid w:val="000C664C"/>
    <w:rsid w:val="000C7FC7"/>
    <w:rsid w:val="000D18C5"/>
    <w:rsid w:val="000D2BF9"/>
    <w:rsid w:val="000E1993"/>
    <w:rsid w:val="00100030"/>
    <w:rsid w:val="00101389"/>
    <w:rsid w:val="0010320F"/>
    <w:rsid w:val="00111C96"/>
    <w:rsid w:val="00111CE0"/>
    <w:rsid w:val="00111DF0"/>
    <w:rsid w:val="001135C5"/>
    <w:rsid w:val="001147C0"/>
    <w:rsid w:val="001253A3"/>
    <w:rsid w:val="00126145"/>
    <w:rsid w:val="0012779B"/>
    <w:rsid w:val="001277F8"/>
    <w:rsid w:val="00131F75"/>
    <w:rsid w:val="0013288E"/>
    <w:rsid w:val="00134275"/>
    <w:rsid w:val="00137B0E"/>
    <w:rsid w:val="00137D4E"/>
    <w:rsid w:val="00141835"/>
    <w:rsid w:val="00145AFF"/>
    <w:rsid w:val="00147740"/>
    <w:rsid w:val="00150BAB"/>
    <w:rsid w:val="00153EBD"/>
    <w:rsid w:val="001627D9"/>
    <w:rsid w:val="001628C7"/>
    <w:rsid w:val="00171FF9"/>
    <w:rsid w:val="001742B5"/>
    <w:rsid w:val="00175874"/>
    <w:rsid w:val="001767E6"/>
    <w:rsid w:val="00176AC2"/>
    <w:rsid w:val="001802FB"/>
    <w:rsid w:val="00180983"/>
    <w:rsid w:val="00185C4C"/>
    <w:rsid w:val="00190A8D"/>
    <w:rsid w:val="0019379D"/>
    <w:rsid w:val="00193F07"/>
    <w:rsid w:val="00195E1F"/>
    <w:rsid w:val="00196645"/>
    <w:rsid w:val="00197997"/>
    <w:rsid w:val="001A781C"/>
    <w:rsid w:val="001B21A1"/>
    <w:rsid w:val="001B5AE5"/>
    <w:rsid w:val="001B7C67"/>
    <w:rsid w:val="001C1105"/>
    <w:rsid w:val="001C17C6"/>
    <w:rsid w:val="001C1830"/>
    <w:rsid w:val="001C22DE"/>
    <w:rsid w:val="001C3C4C"/>
    <w:rsid w:val="001C68C6"/>
    <w:rsid w:val="001D2FB0"/>
    <w:rsid w:val="001E0341"/>
    <w:rsid w:val="001E1C36"/>
    <w:rsid w:val="001E3D8C"/>
    <w:rsid w:val="001E44CD"/>
    <w:rsid w:val="001E6F40"/>
    <w:rsid w:val="001F3DF5"/>
    <w:rsid w:val="002016E0"/>
    <w:rsid w:val="00206380"/>
    <w:rsid w:val="002155FA"/>
    <w:rsid w:val="002176DE"/>
    <w:rsid w:val="00223B64"/>
    <w:rsid w:val="0023029F"/>
    <w:rsid w:val="00231281"/>
    <w:rsid w:val="00231DC2"/>
    <w:rsid w:val="00232F4F"/>
    <w:rsid w:val="002333B7"/>
    <w:rsid w:val="002368E4"/>
    <w:rsid w:val="00237FC4"/>
    <w:rsid w:val="00241832"/>
    <w:rsid w:val="00244D42"/>
    <w:rsid w:val="00246FFA"/>
    <w:rsid w:val="00247076"/>
    <w:rsid w:val="00255E19"/>
    <w:rsid w:val="00256C2E"/>
    <w:rsid w:val="00257233"/>
    <w:rsid w:val="00260716"/>
    <w:rsid w:val="0026193E"/>
    <w:rsid w:val="00261A9C"/>
    <w:rsid w:val="00262518"/>
    <w:rsid w:val="00270A1C"/>
    <w:rsid w:val="00271ED8"/>
    <w:rsid w:val="002730ED"/>
    <w:rsid w:val="0028432F"/>
    <w:rsid w:val="002855D0"/>
    <w:rsid w:val="00290E18"/>
    <w:rsid w:val="00291D54"/>
    <w:rsid w:val="00292BD6"/>
    <w:rsid w:val="00295379"/>
    <w:rsid w:val="002B24A3"/>
    <w:rsid w:val="002B351B"/>
    <w:rsid w:val="002C0864"/>
    <w:rsid w:val="002C0F12"/>
    <w:rsid w:val="002C1BA7"/>
    <w:rsid w:val="002D00AA"/>
    <w:rsid w:val="002D044D"/>
    <w:rsid w:val="002D0F0A"/>
    <w:rsid w:val="002D35FA"/>
    <w:rsid w:val="002D3797"/>
    <w:rsid w:val="002D6461"/>
    <w:rsid w:val="002D650F"/>
    <w:rsid w:val="002D6E18"/>
    <w:rsid w:val="002E002E"/>
    <w:rsid w:val="002E28F9"/>
    <w:rsid w:val="002E7525"/>
    <w:rsid w:val="002F00C3"/>
    <w:rsid w:val="002F01CA"/>
    <w:rsid w:val="002F3161"/>
    <w:rsid w:val="002F5517"/>
    <w:rsid w:val="00305358"/>
    <w:rsid w:val="0030650B"/>
    <w:rsid w:val="00312C1A"/>
    <w:rsid w:val="00312DD1"/>
    <w:rsid w:val="00313308"/>
    <w:rsid w:val="003144CA"/>
    <w:rsid w:val="00321077"/>
    <w:rsid w:val="00322EDB"/>
    <w:rsid w:val="003268BB"/>
    <w:rsid w:val="00330072"/>
    <w:rsid w:val="00330B4E"/>
    <w:rsid w:val="0033176D"/>
    <w:rsid w:val="00333457"/>
    <w:rsid w:val="00335B60"/>
    <w:rsid w:val="00337E2D"/>
    <w:rsid w:val="003436BE"/>
    <w:rsid w:val="00344BB3"/>
    <w:rsid w:val="00345FC0"/>
    <w:rsid w:val="003469FC"/>
    <w:rsid w:val="00347800"/>
    <w:rsid w:val="003504B5"/>
    <w:rsid w:val="003546A6"/>
    <w:rsid w:val="00354915"/>
    <w:rsid w:val="00354E6F"/>
    <w:rsid w:val="00356BDB"/>
    <w:rsid w:val="003577BE"/>
    <w:rsid w:val="00362D3A"/>
    <w:rsid w:val="00362FCF"/>
    <w:rsid w:val="0036468F"/>
    <w:rsid w:val="00366993"/>
    <w:rsid w:val="00371876"/>
    <w:rsid w:val="00372C00"/>
    <w:rsid w:val="00382FAE"/>
    <w:rsid w:val="00384541"/>
    <w:rsid w:val="00385C87"/>
    <w:rsid w:val="003902D9"/>
    <w:rsid w:val="00391402"/>
    <w:rsid w:val="00391F87"/>
    <w:rsid w:val="00394FC5"/>
    <w:rsid w:val="00395A7F"/>
    <w:rsid w:val="00396952"/>
    <w:rsid w:val="003A2A06"/>
    <w:rsid w:val="003A4C78"/>
    <w:rsid w:val="003A552B"/>
    <w:rsid w:val="003B139B"/>
    <w:rsid w:val="003B3A50"/>
    <w:rsid w:val="003B4423"/>
    <w:rsid w:val="003B448B"/>
    <w:rsid w:val="003C2DD1"/>
    <w:rsid w:val="003D0EF8"/>
    <w:rsid w:val="003D1455"/>
    <w:rsid w:val="003D2B72"/>
    <w:rsid w:val="003D3BAF"/>
    <w:rsid w:val="003D42C7"/>
    <w:rsid w:val="003E1518"/>
    <w:rsid w:val="003E42F6"/>
    <w:rsid w:val="003E48E7"/>
    <w:rsid w:val="003E7C95"/>
    <w:rsid w:val="003E7D68"/>
    <w:rsid w:val="003F1437"/>
    <w:rsid w:val="003F448B"/>
    <w:rsid w:val="003F58F6"/>
    <w:rsid w:val="00401149"/>
    <w:rsid w:val="00402720"/>
    <w:rsid w:val="00402985"/>
    <w:rsid w:val="00406593"/>
    <w:rsid w:val="004069B2"/>
    <w:rsid w:val="00413229"/>
    <w:rsid w:val="004228A3"/>
    <w:rsid w:val="004229AC"/>
    <w:rsid w:val="00423174"/>
    <w:rsid w:val="00423D3B"/>
    <w:rsid w:val="004245A3"/>
    <w:rsid w:val="00424A48"/>
    <w:rsid w:val="004274EC"/>
    <w:rsid w:val="00427917"/>
    <w:rsid w:val="004358D1"/>
    <w:rsid w:val="00436238"/>
    <w:rsid w:val="0044341B"/>
    <w:rsid w:val="004447A8"/>
    <w:rsid w:val="00444F7D"/>
    <w:rsid w:val="00445007"/>
    <w:rsid w:val="00446A9B"/>
    <w:rsid w:val="00456668"/>
    <w:rsid w:val="0046088D"/>
    <w:rsid w:val="00460FF4"/>
    <w:rsid w:val="00462F02"/>
    <w:rsid w:val="00466EDC"/>
    <w:rsid w:val="00467368"/>
    <w:rsid w:val="00474161"/>
    <w:rsid w:val="00474C36"/>
    <w:rsid w:val="00475E38"/>
    <w:rsid w:val="0048006F"/>
    <w:rsid w:val="00482BBB"/>
    <w:rsid w:val="00485114"/>
    <w:rsid w:val="00485AE4"/>
    <w:rsid w:val="00486111"/>
    <w:rsid w:val="00493247"/>
    <w:rsid w:val="00493936"/>
    <w:rsid w:val="00493C97"/>
    <w:rsid w:val="004A0053"/>
    <w:rsid w:val="004B141B"/>
    <w:rsid w:val="004B2B05"/>
    <w:rsid w:val="004B2BBA"/>
    <w:rsid w:val="004B71F4"/>
    <w:rsid w:val="004C0B5E"/>
    <w:rsid w:val="004C16C3"/>
    <w:rsid w:val="004C16F8"/>
    <w:rsid w:val="004C63EE"/>
    <w:rsid w:val="004D1073"/>
    <w:rsid w:val="004D1EE6"/>
    <w:rsid w:val="004D35F5"/>
    <w:rsid w:val="004D39A3"/>
    <w:rsid w:val="004D6064"/>
    <w:rsid w:val="004D7034"/>
    <w:rsid w:val="004D77CF"/>
    <w:rsid w:val="004E06BE"/>
    <w:rsid w:val="004E3B7D"/>
    <w:rsid w:val="004E3E3E"/>
    <w:rsid w:val="004E42E6"/>
    <w:rsid w:val="004E5219"/>
    <w:rsid w:val="004E5753"/>
    <w:rsid w:val="004F10CA"/>
    <w:rsid w:val="004F4675"/>
    <w:rsid w:val="00501570"/>
    <w:rsid w:val="005017DA"/>
    <w:rsid w:val="00506B0D"/>
    <w:rsid w:val="00506BCB"/>
    <w:rsid w:val="0051029C"/>
    <w:rsid w:val="00511F9F"/>
    <w:rsid w:val="005127B5"/>
    <w:rsid w:val="005206BF"/>
    <w:rsid w:val="005214BE"/>
    <w:rsid w:val="00522736"/>
    <w:rsid w:val="005371D2"/>
    <w:rsid w:val="00537528"/>
    <w:rsid w:val="005506C7"/>
    <w:rsid w:val="00561349"/>
    <w:rsid w:val="00564B79"/>
    <w:rsid w:val="00567054"/>
    <w:rsid w:val="00567A9A"/>
    <w:rsid w:val="00570FEC"/>
    <w:rsid w:val="00571A8C"/>
    <w:rsid w:val="0057377D"/>
    <w:rsid w:val="005770EC"/>
    <w:rsid w:val="00585E04"/>
    <w:rsid w:val="005910DD"/>
    <w:rsid w:val="005940C1"/>
    <w:rsid w:val="0059566C"/>
    <w:rsid w:val="005A0AFE"/>
    <w:rsid w:val="005A3156"/>
    <w:rsid w:val="005A6185"/>
    <w:rsid w:val="005A61FC"/>
    <w:rsid w:val="005B052E"/>
    <w:rsid w:val="005B66D2"/>
    <w:rsid w:val="005B7842"/>
    <w:rsid w:val="005C1AC7"/>
    <w:rsid w:val="005C20A4"/>
    <w:rsid w:val="005C5741"/>
    <w:rsid w:val="005D57F1"/>
    <w:rsid w:val="005D5891"/>
    <w:rsid w:val="005D680C"/>
    <w:rsid w:val="005E06D3"/>
    <w:rsid w:val="005E27C0"/>
    <w:rsid w:val="005E4F1C"/>
    <w:rsid w:val="005F1004"/>
    <w:rsid w:val="005F1FAE"/>
    <w:rsid w:val="005F2210"/>
    <w:rsid w:val="005F42AD"/>
    <w:rsid w:val="005F47CE"/>
    <w:rsid w:val="005F56A6"/>
    <w:rsid w:val="005F7E99"/>
    <w:rsid w:val="00601081"/>
    <w:rsid w:val="006012C6"/>
    <w:rsid w:val="00603239"/>
    <w:rsid w:val="00605A3D"/>
    <w:rsid w:val="00607A61"/>
    <w:rsid w:val="006127D4"/>
    <w:rsid w:val="006128CE"/>
    <w:rsid w:val="00614547"/>
    <w:rsid w:val="00614D4B"/>
    <w:rsid w:val="00616DFB"/>
    <w:rsid w:val="00617630"/>
    <w:rsid w:val="00617B27"/>
    <w:rsid w:val="00620346"/>
    <w:rsid w:val="00622516"/>
    <w:rsid w:val="00622C68"/>
    <w:rsid w:val="0062321A"/>
    <w:rsid w:val="006241EE"/>
    <w:rsid w:val="0062597C"/>
    <w:rsid w:val="00627ACD"/>
    <w:rsid w:val="00630383"/>
    <w:rsid w:val="00633DA7"/>
    <w:rsid w:val="006357BD"/>
    <w:rsid w:val="006365CA"/>
    <w:rsid w:val="006408DC"/>
    <w:rsid w:val="006413AD"/>
    <w:rsid w:val="006503F8"/>
    <w:rsid w:val="00651856"/>
    <w:rsid w:val="006521E7"/>
    <w:rsid w:val="0065579F"/>
    <w:rsid w:val="00670351"/>
    <w:rsid w:val="006706AA"/>
    <w:rsid w:val="00673154"/>
    <w:rsid w:val="0067540D"/>
    <w:rsid w:val="0068365D"/>
    <w:rsid w:val="00685237"/>
    <w:rsid w:val="00690BB8"/>
    <w:rsid w:val="0069161A"/>
    <w:rsid w:val="0069189C"/>
    <w:rsid w:val="00691E28"/>
    <w:rsid w:val="006954BD"/>
    <w:rsid w:val="006978B2"/>
    <w:rsid w:val="00697DD7"/>
    <w:rsid w:val="006A451F"/>
    <w:rsid w:val="006A67C2"/>
    <w:rsid w:val="006A6A31"/>
    <w:rsid w:val="006B08FF"/>
    <w:rsid w:val="006B0BCD"/>
    <w:rsid w:val="006B0CBE"/>
    <w:rsid w:val="006B1303"/>
    <w:rsid w:val="006B1969"/>
    <w:rsid w:val="006B2F1E"/>
    <w:rsid w:val="006B3DD7"/>
    <w:rsid w:val="006B48F1"/>
    <w:rsid w:val="006C2D21"/>
    <w:rsid w:val="006C60A2"/>
    <w:rsid w:val="006C6193"/>
    <w:rsid w:val="006D63EF"/>
    <w:rsid w:val="006D7CA8"/>
    <w:rsid w:val="006E2FE4"/>
    <w:rsid w:val="006E36C6"/>
    <w:rsid w:val="006E7570"/>
    <w:rsid w:val="006F1B5B"/>
    <w:rsid w:val="006F259F"/>
    <w:rsid w:val="006F3D72"/>
    <w:rsid w:val="006F3FB1"/>
    <w:rsid w:val="006F4B94"/>
    <w:rsid w:val="006F511B"/>
    <w:rsid w:val="006F6130"/>
    <w:rsid w:val="006F6CFF"/>
    <w:rsid w:val="006F6EB8"/>
    <w:rsid w:val="006F72DD"/>
    <w:rsid w:val="00705FA1"/>
    <w:rsid w:val="00707E83"/>
    <w:rsid w:val="007165BE"/>
    <w:rsid w:val="007200FA"/>
    <w:rsid w:val="00722433"/>
    <w:rsid w:val="00723530"/>
    <w:rsid w:val="00725CC4"/>
    <w:rsid w:val="00726958"/>
    <w:rsid w:val="00727D4D"/>
    <w:rsid w:val="00731322"/>
    <w:rsid w:val="00736FEF"/>
    <w:rsid w:val="00737516"/>
    <w:rsid w:val="00741230"/>
    <w:rsid w:val="00742623"/>
    <w:rsid w:val="00742EF6"/>
    <w:rsid w:val="00743006"/>
    <w:rsid w:val="0074310F"/>
    <w:rsid w:val="00745C1D"/>
    <w:rsid w:val="00751F23"/>
    <w:rsid w:val="007573D2"/>
    <w:rsid w:val="007577AC"/>
    <w:rsid w:val="00760918"/>
    <w:rsid w:val="00760C49"/>
    <w:rsid w:val="007626A2"/>
    <w:rsid w:val="007651F0"/>
    <w:rsid w:val="007705A1"/>
    <w:rsid w:val="00770F43"/>
    <w:rsid w:val="00771468"/>
    <w:rsid w:val="007719AC"/>
    <w:rsid w:val="007728F8"/>
    <w:rsid w:val="00776AD0"/>
    <w:rsid w:val="00787A57"/>
    <w:rsid w:val="00787B7D"/>
    <w:rsid w:val="00793203"/>
    <w:rsid w:val="00795931"/>
    <w:rsid w:val="00796A2A"/>
    <w:rsid w:val="007A2A69"/>
    <w:rsid w:val="007A6821"/>
    <w:rsid w:val="007B0BAC"/>
    <w:rsid w:val="007B3EE9"/>
    <w:rsid w:val="007B4B41"/>
    <w:rsid w:val="007B6028"/>
    <w:rsid w:val="007C0BA7"/>
    <w:rsid w:val="007C33E4"/>
    <w:rsid w:val="007C41B3"/>
    <w:rsid w:val="007C44F4"/>
    <w:rsid w:val="007D2587"/>
    <w:rsid w:val="007D5A25"/>
    <w:rsid w:val="007E0F24"/>
    <w:rsid w:val="007E17B1"/>
    <w:rsid w:val="007E27C0"/>
    <w:rsid w:val="007E6E32"/>
    <w:rsid w:val="007E771D"/>
    <w:rsid w:val="007F3DA7"/>
    <w:rsid w:val="007F4203"/>
    <w:rsid w:val="007F502E"/>
    <w:rsid w:val="007F65F6"/>
    <w:rsid w:val="007F6A42"/>
    <w:rsid w:val="008013CA"/>
    <w:rsid w:val="0080728E"/>
    <w:rsid w:val="00814945"/>
    <w:rsid w:val="00814985"/>
    <w:rsid w:val="008160BF"/>
    <w:rsid w:val="008167F3"/>
    <w:rsid w:val="00816F96"/>
    <w:rsid w:val="008175D4"/>
    <w:rsid w:val="00823AF8"/>
    <w:rsid w:val="00825BFE"/>
    <w:rsid w:val="00827854"/>
    <w:rsid w:val="00835356"/>
    <w:rsid w:val="00836D5A"/>
    <w:rsid w:val="00836DC4"/>
    <w:rsid w:val="0083795A"/>
    <w:rsid w:val="00837C9F"/>
    <w:rsid w:val="00840F81"/>
    <w:rsid w:val="00842DE1"/>
    <w:rsid w:val="00843379"/>
    <w:rsid w:val="008436F0"/>
    <w:rsid w:val="00843DAA"/>
    <w:rsid w:val="00850AD1"/>
    <w:rsid w:val="00852259"/>
    <w:rsid w:val="00853419"/>
    <w:rsid w:val="0085560D"/>
    <w:rsid w:val="00856F99"/>
    <w:rsid w:val="00864D17"/>
    <w:rsid w:val="008719DB"/>
    <w:rsid w:val="00872250"/>
    <w:rsid w:val="00882817"/>
    <w:rsid w:val="0088352F"/>
    <w:rsid w:val="008855E2"/>
    <w:rsid w:val="00886521"/>
    <w:rsid w:val="008937A3"/>
    <w:rsid w:val="008956D0"/>
    <w:rsid w:val="00895D72"/>
    <w:rsid w:val="008A4FE1"/>
    <w:rsid w:val="008A5E28"/>
    <w:rsid w:val="008B1FE0"/>
    <w:rsid w:val="008B4198"/>
    <w:rsid w:val="008B725C"/>
    <w:rsid w:val="008C1D6D"/>
    <w:rsid w:val="008C3F98"/>
    <w:rsid w:val="008D3A05"/>
    <w:rsid w:val="008D681A"/>
    <w:rsid w:val="008D6B1A"/>
    <w:rsid w:val="008D6D38"/>
    <w:rsid w:val="008E024A"/>
    <w:rsid w:val="008E0617"/>
    <w:rsid w:val="008E19D8"/>
    <w:rsid w:val="008E705E"/>
    <w:rsid w:val="008E7553"/>
    <w:rsid w:val="008F34E9"/>
    <w:rsid w:val="009039E2"/>
    <w:rsid w:val="00910183"/>
    <w:rsid w:val="0091196A"/>
    <w:rsid w:val="00911DC9"/>
    <w:rsid w:val="009123FF"/>
    <w:rsid w:val="00917271"/>
    <w:rsid w:val="00923157"/>
    <w:rsid w:val="00923FB1"/>
    <w:rsid w:val="00925478"/>
    <w:rsid w:val="00926617"/>
    <w:rsid w:val="00926A0F"/>
    <w:rsid w:val="00927D44"/>
    <w:rsid w:val="00930CAD"/>
    <w:rsid w:val="009400CF"/>
    <w:rsid w:val="00940533"/>
    <w:rsid w:val="009438F8"/>
    <w:rsid w:val="00943F3F"/>
    <w:rsid w:val="0094691D"/>
    <w:rsid w:val="00954F42"/>
    <w:rsid w:val="00957172"/>
    <w:rsid w:val="00957A33"/>
    <w:rsid w:val="0096003B"/>
    <w:rsid w:val="0096081E"/>
    <w:rsid w:val="0096137E"/>
    <w:rsid w:val="00961E92"/>
    <w:rsid w:val="009647C5"/>
    <w:rsid w:val="00966280"/>
    <w:rsid w:val="00971DDC"/>
    <w:rsid w:val="0097356C"/>
    <w:rsid w:val="009755AD"/>
    <w:rsid w:val="009800B6"/>
    <w:rsid w:val="009815B1"/>
    <w:rsid w:val="009834EC"/>
    <w:rsid w:val="00985DB7"/>
    <w:rsid w:val="00986B3C"/>
    <w:rsid w:val="009903A8"/>
    <w:rsid w:val="00991070"/>
    <w:rsid w:val="00992DCD"/>
    <w:rsid w:val="00994702"/>
    <w:rsid w:val="00997875"/>
    <w:rsid w:val="00997D39"/>
    <w:rsid w:val="00997FD5"/>
    <w:rsid w:val="009A186F"/>
    <w:rsid w:val="009A1CA8"/>
    <w:rsid w:val="009A5082"/>
    <w:rsid w:val="009A618E"/>
    <w:rsid w:val="009B155B"/>
    <w:rsid w:val="009B17FB"/>
    <w:rsid w:val="009B183F"/>
    <w:rsid w:val="009B1F5B"/>
    <w:rsid w:val="009B3DB8"/>
    <w:rsid w:val="009C0A7E"/>
    <w:rsid w:val="009D3CA1"/>
    <w:rsid w:val="009D3E52"/>
    <w:rsid w:val="009D403F"/>
    <w:rsid w:val="009E068F"/>
    <w:rsid w:val="009E1B89"/>
    <w:rsid w:val="009E22AE"/>
    <w:rsid w:val="009E619C"/>
    <w:rsid w:val="009E7020"/>
    <w:rsid w:val="009E7045"/>
    <w:rsid w:val="009E748B"/>
    <w:rsid w:val="009F2244"/>
    <w:rsid w:val="009F3D12"/>
    <w:rsid w:val="00A04BEB"/>
    <w:rsid w:val="00A04DE2"/>
    <w:rsid w:val="00A11A20"/>
    <w:rsid w:val="00A11DFB"/>
    <w:rsid w:val="00A13847"/>
    <w:rsid w:val="00A14BA5"/>
    <w:rsid w:val="00A15C80"/>
    <w:rsid w:val="00A15DA4"/>
    <w:rsid w:val="00A22250"/>
    <w:rsid w:val="00A22B64"/>
    <w:rsid w:val="00A2486B"/>
    <w:rsid w:val="00A25160"/>
    <w:rsid w:val="00A2735D"/>
    <w:rsid w:val="00A2769F"/>
    <w:rsid w:val="00A27E76"/>
    <w:rsid w:val="00A321AB"/>
    <w:rsid w:val="00A323D7"/>
    <w:rsid w:val="00A32CCB"/>
    <w:rsid w:val="00A330EB"/>
    <w:rsid w:val="00A334CC"/>
    <w:rsid w:val="00A44BE1"/>
    <w:rsid w:val="00A4500D"/>
    <w:rsid w:val="00A6427A"/>
    <w:rsid w:val="00A66B14"/>
    <w:rsid w:val="00A66CF8"/>
    <w:rsid w:val="00A727DA"/>
    <w:rsid w:val="00A81A3A"/>
    <w:rsid w:val="00A838C7"/>
    <w:rsid w:val="00A83E6C"/>
    <w:rsid w:val="00A84D8D"/>
    <w:rsid w:val="00A9330E"/>
    <w:rsid w:val="00A93FD6"/>
    <w:rsid w:val="00A95088"/>
    <w:rsid w:val="00A957EB"/>
    <w:rsid w:val="00A960AC"/>
    <w:rsid w:val="00AA3298"/>
    <w:rsid w:val="00AA41AA"/>
    <w:rsid w:val="00AA6892"/>
    <w:rsid w:val="00AB049C"/>
    <w:rsid w:val="00AB0646"/>
    <w:rsid w:val="00AB1D7B"/>
    <w:rsid w:val="00AB1EA3"/>
    <w:rsid w:val="00AB2794"/>
    <w:rsid w:val="00AB3D67"/>
    <w:rsid w:val="00AB67ED"/>
    <w:rsid w:val="00AC4276"/>
    <w:rsid w:val="00AC51E8"/>
    <w:rsid w:val="00AD1424"/>
    <w:rsid w:val="00AD2407"/>
    <w:rsid w:val="00AD62D8"/>
    <w:rsid w:val="00AE5146"/>
    <w:rsid w:val="00AE55C5"/>
    <w:rsid w:val="00AE5A4F"/>
    <w:rsid w:val="00AE73FD"/>
    <w:rsid w:val="00AF0B65"/>
    <w:rsid w:val="00B002E0"/>
    <w:rsid w:val="00B0053F"/>
    <w:rsid w:val="00B0132A"/>
    <w:rsid w:val="00B04C3E"/>
    <w:rsid w:val="00B07968"/>
    <w:rsid w:val="00B07B19"/>
    <w:rsid w:val="00B12666"/>
    <w:rsid w:val="00B15903"/>
    <w:rsid w:val="00B23604"/>
    <w:rsid w:val="00B3749E"/>
    <w:rsid w:val="00B41694"/>
    <w:rsid w:val="00B427B9"/>
    <w:rsid w:val="00B43371"/>
    <w:rsid w:val="00B454AE"/>
    <w:rsid w:val="00B508E7"/>
    <w:rsid w:val="00B52464"/>
    <w:rsid w:val="00B5493F"/>
    <w:rsid w:val="00B55CF3"/>
    <w:rsid w:val="00B670CE"/>
    <w:rsid w:val="00B67B79"/>
    <w:rsid w:val="00B67E74"/>
    <w:rsid w:val="00B72CF0"/>
    <w:rsid w:val="00B73009"/>
    <w:rsid w:val="00B82234"/>
    <w:rsid w:val="00B837AA"/>
    <w:rsid w:val="00B909E8"/>
    <w:rsid w:val="00B91D0D"/>
    <w:rsid w:val="00B92AD5"/>
    <w:rsid w:val="00B94BA4"/>
    <w:rsid w:val="00BB156E"/>
    <w:rsid w:val="00BB4FEC"/>
    <w:rsid w:val="00BB65B1"/>
    <w:rsid w:val="00BC03E1"/>
    <w:rsid w:val="00BC4593"/>
    <w:rsid w:val="00BD05BF"/>
    <w:rsid w:val="00BD464A"/>
    <w:rsid w:val="00BD6CFB"/>
    <w:rsid w:val="00BD6F00"/>
    <w:rsid w:val="00BE22A6"/>
    <w:rsid w:val="00BE2902"/>
    <w:rsid w:val="00BE6C9C"/>
    <w:rsid w:val="00BF37B7"/>
    <w:rsid w:val="00BF5C82"/>
    <w:rsid w:val="00BF5ED4"/>
    <w:rsid w:val="00C0085D"/>
    <w:rsid w:val="00C010AA"/>
    <w:rsid w:val="00C013EF"/>
    <w:rsid w:val="00C11EFC"/>
    <w:rsid w:val="00C1675F"/>
    <w:rsid w:val="00C21F2D"/>
    <w:rsid w:val="00C23439"/>
    <w:rsid w:val="00C27213"/>
    <w:rsid w:val="00C278C2"/>
    <w:rsid w:val="00C32917"/>
    <w:rsid w:val="00C353D0"/>
    <w:rsid w:val="00C41E55"/>
    <w:rsid w:val="00C45167"/>
    <w:rsid w:val="00C473CE"/>
    <w:rsid w:val="00C50168"/>
    <w:rsid w:val="00C51601"/>
    <w:rsid w:val="00C52111"/>
    <w:rsid w:val="00C523E4"/>
    <w:rsid w:val="00C53622"/>
    <w:rsid w:val="00C54982"/>
    <w:rsid w:val="00C55B71"/>
    <w:rsid w:val="00C621A1"/>
    <w:rsid w:val="00C63153"/>
    <w:rsid w:val="00C63CB8"/>
    <w:rsid w:val="00C64563"/>
    <w:rsid w:val="00C65327"/>
    <w:rsid w:val="00C67382"/>
    <w:rsid w:val="00C711AB"/>
    <w:rsid w:val="00C71CD6"/>
    <w:rsid w:val="00C72471"/>
    <w:rsid w:val="00C8086B"/>
    <w:rsid w:val="00C82D97"/>
    <w:rsid w:val="00C84D14"/>
    <w:rsid w:val="00C870D3"/>
    <w:rsid w:val="00C9369C"/>
    <w:rsid w:val="00C93EDD"/>
    <w:rsid w:val="00C953EF"/>
    <w:rsid w:val="00C953F6"/>
    <w:rsid w:val="00CA0363"/>
    <w:rsid w:val="00CA3995"/>
    <w:rsid w:val="00CA501F"/>
    <w:rsid w:val="00CA5987"/>
    <w:rsid w:val="00CA61CF"/>
    <w:rsid w:val="00CB1749"/>
    <w:rsid w:val="00CB3A9F"/>
    <w:rsid w:val="00CB5048"/>
    <w:rsid w:val="00CC02C2"/>
    <w:rsid w:val="00CC4640"/>
    <w:rsid w:val="00CE2D1F"/>
    <w:rsid w:val="00CE52F0"/>
    <w:rsid w:val="00CE66F0"/>
    <w:rsid w:val="00CF18A3"/>
    <w:rsid w:val="00CF356A"/>
    <w:rsid w:val="00D029CB"/>
    <w:rsid w:val="00D030BA"/>
    <w:rsid w:val="00D04274"/>
    <w:rsid w:val="00D05A8B"/>
    <w:rsid w:val="00D06659"/>
    <w:rsid w:val="00D0699D"/>
    <w:rsid w:val="00D128F5"/>
    <w:rsid w:val="00D12AAC"/>
    <w:rsid w:val="00D1447E"/>
    <w:rsid w:val="00D15F08"/>
    <w:rsid w:val="00D164B7"/>
    <w:rsid w:val="00D205D0"/>
    <w:rsid w:val="00D22151"/>
    <w:rsid w:val="00D25CA2"/>
    <w:rsid w:val="00D26FF5"/>
    <w:rsid w:val="00D275C6"/>
    <w:rsid w:val="00D41A51"/>
    <w:rsid w:val="00D42DFD"/>
    <w:rsid w:val="00D45E14"/>
    <w:rsid w:val="00D4755C"/>
    <w:rsid w:val="00D52834"/>
    <w:rsid w:val="00D544FE"/>
    <w:rsid w:val="00D5596F"/>
    <w:rsid w:val="00D61F13"/>
    <w:rsid w:val="00D65614"/>
    <w:rsid w:val="00D672D6"/>
    <w:rsid w:val="00D72B46"/>
    <w:rsid w:val="00D75D2E"/>
    <w:rsid w:val="00D806A3"/>
    <w:rsid w:val="00D81BAC"/>
    <w:rsid w:val="00D83149"/>
    <w:rsid w:val="00D83173"/>
    <w:rsid w:val="00D85273"/>
    <w:rsid w:val="00D90CC5"/>
    <w:rsid w:val="00D92C6A"/>
    <w:rsid w:val="00DA12AB"/>
    <w:rsid w:val="00DB3689"/>
    <w:rsid w:val="00DB3767"/>
    <w:rsid w:val="00DC087E"/>
    <w:rsid w:val="00DC22BE"/>
    <w:rsid w:val="00DC5F62"/>
    <w:rsid w:val="00DC7FAF"/>
    <w:rsid w:val="00DD02BA"/>
    <w:rsid w:val="00DD7215"/>
    <w:rsid w:val="00DE1B4A"/>
    <w:rsid w:val="00DE2CFF"/>
    <w:rsid w:val="00DE3330"/>
    <w:rsid w:val="00DE5939"/>
    <w:rsid w:val="00DF4CBC"/>
    <w:rsid w:val="00DF5370"/>
    <w:rsid w:val="00DF7081"/>
    <w:rsid w:val="00E0205D"/>
    <w:rsid w:val="00E120F4"/>
    <w:rsid w:val="00E153F6"/>
    <w:rsid w:val="00E173DF"/>
    <w:rsid w:val="00E215F8"/>
    <w:rsid w:val="00E27FC2"/>
    <w:rsid w:val="00E31912"/>
    <w:rsid w:val="00E31B60"/>
    <w:rsid w:val="00E353DB"/>
    <w:rsid w:val="00E36375"/>
    <w:rsid w:val="00E368DD"/>
    <w:rsid w:val="00E40D48"/>
    <w:rsid w:val="00E40DBF"/>
    <w:rsid w:val="00E42C98"/>
    <w:rsid w:val="00E43798"/>
    <w:rsid w:val="00E43842"/>
    <w:rsid w:val="00E468CA"/>
    <w:rsid w:val="00E521EE"/>
    <w:rsid w:val="00E60313"/>
    <w:rsid w:val="00E62B3D"/>
    <w:rsid w:val="00E65E86"/>
    <w:rsid w:val="00E71B00"/>
    <w:rsid w:val="00E736AE"/>
    <w:rsid w:val="00E73C7F"/>
    <w:rsid w:val="00E740D9"/>
    <w:rsid w:val="00E8224F"/>
    <w:rsid w:val="00E85E3C"/>
    <w:rsid w:val="00E93368"/>
    <w:rsid w:val="00E943EE"/>
    <w:rsid w:val="00EA1154"/>
    <w:rsid w:val="00EA2532"/>
    <w:rsid w:val="00EA4D0C"/>
    <w:rsid w:val="00EA4E53"/>
    <w:rsid w:val="00EA6259"/>
    <w:rsid w:val="00EA63A0"/>
    <w:rsid w:val="00EA7720"/>
    <w:rsid w:val="00EB1663"/>
    <w:rsid w:val="00EB4324"/>
    <w:rsid w:val="00EB538C"/>
    <w:rsid w:val="00EB6B41"/>
    <w:rsid w:val="00EC1D1E"/>
    <w:rsid w:val="00EC465B"/>
    <w:rsid w:val="00EC7D8F"/>
    <w:rsid w:val="00EC7E1A"/>
    <w:rsid w:val="00ED0F55"/>
    <w:rsid w:val="00ED5032"/>
    <w:rsid w:val="00ED5270"/>
    <w:rsid w:val="00ED7856"/>
    <w:rsid w:val="00ED792B"/>
    <w:rsid w:val="00ED7DC2"/>
    <w:rsid w:val="00EE0072"/>
    <w:rsid w:val="00EE38C1"/>
    <w:rsid w:val="00EE5769"/>
    <w:rsid w:val="00EE6916"/>
    <w:rsid w:val="00EF1557"/>
    <w:rsid w:val="00EF351A"/>
    <w:rsid w:val="00EF3AA1"/>
    <w:rsid w:val="00EF6FA1"/>
    <w:rsid w:val="00F01A21"/>
    <w:rsid w:val="00F046E9"/>
    <w:rsid w:val="00F1322B"/>
    <w:rsid w:val="00F13699"/>
    <w:rsid w:val="00F175F5"/>
    <w:rsid w:val="00F270BA"/>
    <w:rsid w:val="00F337F8"/>
    <w:rsid w:val="00F3464D"/>
    <w:rsid w:val="00F37E03"/>
    <w:rsid w:val="00F405D4"/>
    <w:rsid w:val="00F40AA9"/>
    <w:rsid w:val="00F43D26"/>
    <w:rsid w:val="00F43EFF"/>
    <w:rsid w:val="00F46B8B"/>
    <w:rsid w:val="00F507DB"/>
    <w:rsid w:val="00F5236F"/>
    <w:rsid w:val="00F544AB"/>
    <w:rsid w:val="00F56A1B"/>
    <w:rsid w:val="00F56C56"/>
    <w:rsid w:val="00F6079F"/>
    <w:rsid w:val="00F64EA5"/>
    <w:rsid w:val="00F66A3D"/>
    <w:rsid w:val="00F66DF3"/>
    <w:rsid w:val="00F67AB2"/>
    <w:rsid w:val="00F73D21"/>
    <w:rsid w:val="00F74ED0"/>
    <w:rsid w:val="00F83593"/>
    <w:rsid w:val="00F84EB3"/>
    <w:rsid w:val="00F865D6"/>
    <w:rsid w:val="00F90E30"/>
    <w:rsid w:val="00F91B00"/>
    <w:rsid w:val="00F9424D"/>
    <w:rsid w:val="00F94DFC"/>
    <w:rsid w:val="00F96331"/>
    <w:rsid w:val="00FA34B5"/>
    <w:rsid w:val="00FB0158"/>
    <w:rsid w:val="00FB16BC"/>
    <w:rsid w:val="00FB25A0"/>
    <w:rsid w:val="00FB2D7C"/>
    <w:rsid w:val="00FB4F37"/>
    <w:rsid w:val="00FB7E5A"/>
    <w:rsid w:val="00FC6E54"/>
    <w:rsid w:val="00FD33A2"/>
    <w:rsid w:val="00FD6206"/>
    <w:rsid w:val="00FD7A6C"/>
    <w:rsid w:val="00FE09E7"/>
    <w:rsid w:val="00FE2161"/>
    <w:rsid w:val="00FE58B6"/>
    <w:rsid w:val="00FE7430"/>
    <w:rsid w:val="00FF0471"/>
    <w:rsid w:val="00FF0AAD"/>
    <w:rsid w:val="00FF29CE"/>
    <w:rsid w:val="00FF2E7C"/>
    <w:rsid w:val="01782DFD"/>
    <w:rsid w:val="029C5ADD"/>
    <w:rsid w:val="03C629B2"/>
    <w:rsid w:val="06C05940"/>
    <w:rsid w:val="073A4E26"/>
    <w:rsid w:val="080C28F8"/>
    <w:rsid w:val="088315E6"/>
    <w:rsid w:val="096222E9"/>
    <w:rsid w:val="0B39458A"/>
    <w:rsid w:val="0C1F4D79"/>
    <w:rsid w:val="0E79427F"/>
    <w:rsid w:val="0EC376D7"/>
    <w:rsid w:val="1037590E"/>
    <w:rsid w:val="105A6673"/>
    <w:rsid w:val="12832E10"/>
    <w:rsid w:val="13053BF5"/>
    <w:rsid w:val="13D07276"/>
    <w:rsid w:val="146B160E"/>
    <w:rsid w:val="146D2BCA"/>
    <w:rsid w:val="18990BF0"/>
    <w:rsid w:val="194B0AC3"/>
    <w:rsid w:val="1A004F02"/>
    <w:rsid w:val="1CF359F1"/>
    <w:rsid w:val="1E532B14"/>
    <w:rsid w:val="1F7A2851"/>
    <w:rsid w:val="22C33509"/>
    <w:rsid w:val="23024DC7"/>
    <w:rsid w:val="25E83F82"/>
    <w:rsid w:val="25F15F0B"/>
    <w:rsid w:val="27047974"/>
    <w:rsid w:val="29A21CE9"/>
    <w:rsid w:val="2AA9235D"/>
    <w:rsid w:val="2ADE2FD1"/>
    <w:rsid w:val="2C2557B5"/>
    <w:rsid w:val="2E6144D0"/>
    <w:rsid w:val="30B2405D"/>
    <w:rsid w:val="31D22C9E"/>
    <w:rsid w:val="32487BB9"/>
    <w:rsid w:val="33602B6D"/>
    <w:rsid w:val="38CB41B8"/>
    <w:rsid w:val="3A2D7893"/>
    <w:rsid w:val="3B170416"/>
    <w:rsid w:val="3C011A40"/>
    <w:rsid w:val="3D8A1F55"/>
    <w:rsid w:val="3E67472F"/>
    <w:rsid w:val="3F750D5E"/>
    <w:rsid w:val="41CF21B6"/>
    <w:rsid w:val="425F5BE4"/>
    <w:rsid w:val="42B8776C"/>
    <w:rsid w:val="44C70D28"/>
    <w:rsid w:val="461A0A58"/>
    <w:rsid w:val="49DD45FF"/>
    <w:rsid w:val="4A1432E0"/>
    <w:rsid w:val="4AA81256"/>
    <w:rsid w:val="4AC256DA"/>
    <w:rsid w:val="4DE57156"/>
    <w:rsid w:val="4E054DE4"/>
    <w:rsid w:val="50FF166F"/>
    <w:rsid w:val="516914F8"/>
    <w:rsid w:val="52965582"/>
    <w:rsid w:val="534350F8"/>
    <w:rsid w:val="537B541B"/>
    <w:rsid w:val="555B5D15"/>
    <w:rsid w:val="565D7956"/>
    <w:rsid w:val="56F24DAF"/>
    <w:rsid w:val="59B34164"/>
    <w:rsid w:val="59C77F9E"/>
    <w:rsid w:val="5E50571D"/>
    <w:rsid w:val="627F59A1"/>
    <w:rsid w:val="63D063E6"/>
    <w:rsid w:val="642B2D69"/>
    <w:rsid w:val="68665048"/>
    <w:rsid w:val="69797C2C"/>
    <w:rsid w:val="6C3B4302"/>
    <w:rsid w:val="6E127DDD"/>
    <w:rsid w:val="6FFB1F7B"/>
    <w:rsid w:val="70A512FC"/>
    <w:rsid w:val="73863421"/>
    <w:rsid w:val="746242A7"/>
    <w:rsid w:val="75A50FF8"/>
    <w:rsid w:val="77075E1E"/>
    <w:rsid w:val="77C137C5"/>
    <w:rsid w:val="78C1665F"/>
    <w:rsid w:val="7924171C"/>
    <w:rsid w:val="7A8C7539"/>
    <w:rsid w:val="7B585908"/>
    <w:rsid w:val="7BEF00EF"/>
    <w:rsid w:val="7F3E4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1"/>
    <w:next w:val="1"/>
    <w:link w:val="71"/>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unhideWhenUsed/>
    <w:uiPriority w:val="1"/>
  </w:style>
  <w:style w:type="table" w:default="1" w:styleId="6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176"/>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after="160"/>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81"/>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61"/>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批注框文本 Char"/>
    <w:basedOn w:val="56"/>
    <w:link w:val="37"/>
    <w:qFormat/>
    <w:uiPriority w:val="0"/>
    <w:rPr>
      <w:kern w:val="2"/>
      <w:sz w:val="18"/>
      <w:szCs w:val="18"/>
    </w:rPr>
  </w:style>
  <w:style w:type="paragraph" w:customStyle="1" w:styleId="67">
    <w:name w:val="List Paragraph"/>
    <w:basedOn w:val="1"/>
    <w:link w:val="272"/>
    <w:unhideWhenUsed/>
    <w:qFormat/>
    <w:uiPriority w:val="34"/>
    <w:pPr>
      <w:ind w:firstLine="420" w:firstLineChars="200"/>
    </w:pPr>
  </w:style>
  <w:style w:type="character" w:customStyle="1" w:styleId="68">
    <w:name w:val="文档结构图 Char"/>
    <w:basedOn w:val="56"/>
    <w:link w:val="25"/>
    <w:qFormat/>
    <w:uiPriority w:val="0"/>
    <w:rPr>
      <w:rFonts w:ascii="宋体"/>
      <w:kern w:val="2"/>
      <w:sz w:val="18"/>
      <w:szCs w:val="18"/>
    </w:rPr>
  </w:style>
  <w:style w:type="character" w:customStyle="1" w:styleId="69">
    <w:name w:val="标题 1 Char"/>
    <w:basedOn w:val="56"/>
    <w:link w:val="2"/>
    <w:qFormat/>
    <w:uiPriority w:val="0"/>
    <w:rPr>
      <w:b/>
      <w:bCs/>
      <w:kern w:val="44"/>
      <w:sz w:val="44"/>
      <w:szCs w:val="44"/>
    </w:rPr>
  </w:style>
  <w:style w:type="character" w:customStyle="1" w:styleId="70">
    <w:name w:val="标题 2 Char"/>
    <w:basedOn w:val="56"/>
    <w:link w:val="3"/>
    <w:qFormat/>
    <w:uiPriority w:val="0"/>
    <w:rPr>
      <w:rFonts w:ascii="Arial" w:hAnsi="Arial" w:eastAsia="MS Mincho"/>
      <w:sz w:val="32"/>
      <w:szCs w:val="32"/>
      <w:lang w:val="en-GB"/>
    </w:rPr>
  </w:style>
  <w:style w:type="character" w:customStyle="1" w:styleId="71">
    <w:name w:val="标题 3 Char"/>
    <w:basedOn w:val="56"/>
    <w:link w:val="4"/>
    <w:qFormat/>
    <w:uiPriority w:val="0"/>
    <w:rPr>
      <w:b/>
      <w:bCs/>
      <w:kern w:val="2"/>
      <w:sz w:val="32"/>
      <w:szCs w:val="32"/>
    </w:rPr>
  </w:style>
  <w:style w:type="character" w:customStyle="1" w:styleId="72">
    <w:name w:val="标题 4 Char"/>
    <w:basedOn w:val="56"/>
    <w:link w:val="5"/>
    <w:qFormat/>
    <w:uiPriority w:val="0"/>
    <w:rPr>
      <w:rFonts w:ascii="Arial" w:hAnsi="Arial" w:eastAsia="黑体"/>
      <w:b/>
      <w:kern w:val="2"/>
      <w:sz w:val="28"/>
      <w:szCs w:val="24"/>
    </w:rPr>
  </w:style>
  <w:style w:type="character" w:customStyle="1" w:styleId="73">
    <w:name w:val="标题 5 Char"/>
    <w:basedOn w:val="56"/>
    <w:link w:val="6"/>
    <w:qFormat/>
    <w:uiPriority w:val="0"/>
    <w:rPr>
      <w:b/>
      <w:kern w:val="2"/>
      <w:sz w:val="28"/>
      <w:szCs w:val="24"/>
    </w:rPr>
  </w:style>
  <w:style w:type="character" w:customStyle="1" w:styleId="74">
    <w:name w:val="标题 6 Char"/>
    <w:basedOn w:val="56"/>
    <w:link w:val="7"/>
    <w:qFormat/>
    <w:uiPriority w:val="0"/>
    <w:rPr>
      <w:rFonts w:ascii="Arial" w:hAnsi="Arial" w:eastAsia="黑体"/>
      <w:b/>
      <w:kern w:val="2"/>
      <w:sz w:val="24"/>
      <w:szCs w:val="24"/>
    </w:rPr>
  </w:style>
  <w:style w:type="character" w:customStyle="1" w:styleId="75">
    <w:name w:val="标题 7 Char"/>
    <w:basedOn w:val="56"/>
    <w:link w:val="8"/>
    <w:qFormat/>
    <w:uiPriority w:val="0"/>
    <w:rPr>
      <w:b/>
      <w:kern w:val="2"/>
      <w:sz w:val="24"/>
      <w:szCs w:val="24"/>
    </w:rPr>
  </w:style>
  <w:style w:type="character" w:customStyle="1" w:styleId="76">
    <w:name w:val="标题 8 Char"/>
    <w:basedOn w:val="56"/>
    <w:link w:val="9"/>
    <w:qFormat/>
    <w:uiPriority w:val="0"/>
    <w:rPr>
      <w:rFonts w:ascii="Arial" w:hAnsi="Arial" w:eastAsia="黑体"/>
      <w:kern w:val="2"/>
      <w:sz w:val="24"/>
      <w:szCs w:val="24"/>
    </w:rPr>
  </w:style>
  <w:style w:type="character" w:customStyle="1" w:styleId="77">
    <w:name w:val="标题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批注主题 Char"/>
    <w:basedOn w:val="92"/>
    <w:link w:val="12"/>
    <w:semiHidden/>
    <w:qFormat/>
    <w:uiPriority w:val="0"/>
    <w:rPr>
      <w:rFonts w:ascii="Arial" w:hAnsi="Arial"/>
      <w:b/>
      <w:bCs/>
      <w:lang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8"/>
    <w:qFormat/>
    <w:uiPriority w:val="99"/>
    <w:rPr>
      <w:kern w:val="2"/>
      <w:sz w:val="18"/>
      <w:szCs w:val="18"/>
    </w:rPr>
  </w:style>
  <w:style w:type="character" w:customStyle="1" w:styleId="113">
    <w:name w:val="Placeholder Text"/>
    <w:semiHidden/>
    <w:qFormat/>
    <w:uiPriority w:val="99"/>
    <w:rPr>
      <w:color w:val="808080"/>
    </w:rPr>
  </w:style>
  <w:style w:type="character" w:customStyle="1" w:styleId="114">
    <w:name w:val="附录公式 Char Char"/>
    <w:basedOn w:val="101"/>
    <w:link w:val="115"/>
    <w:qFormat/>
    <w:uiPriority w:val="0"/>
  </w:style>
  <w:style w:type="paragraph" w:customStyle="1" w:styleId="115">
    <w:name w:val="附录公式"/>
    <w:basedOn w:val="44"/>
    <w:next w:val="44"/>
    <w:link w:val="114"/>
    <w:qFormat/>
    <w:uiPriority w:val="0"/>
  </w:style>
  <w:style w:type="character" w:customStyle="1" w:styleId="116">
    <w:name w:val="纯文本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pPr>
    <w:rPr>
      <w:rFonts w:ascii="宋体" w:hAnsi="宋体" w:eastAsia="宋体" w:cs="Times New Roman"/>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jc w:val="center"/>
    </w:pPr>
    <w:rPr>
      <w:rFonts w:ascii="宋体" w:hAnsi="Times New Roman" w:eastAsia="宋体" w:cs="Times New Roman"/>
      <w:b/>
      <w:spacing w:val="20"/>
      <w:w w:val="135"/>
      <w:sz w:val="28"/>
      <w:lang w:val="en-US" w:eastAsia="zh-CN" w:bidi="ar-SA"/>
    </w:rPr>
  </w:style>
  <w:style w:type="paragraph" w:customStyle="1" w:styleId="136">
    <w:name w:val="示例"/>
    <w:next w:val="137"/>
    <w:qFormat/>
    <w:uiPriority w:val="0"/>
    <w:pPr>
      <w:widowControl w:val="0"/>
      <w:ind w:left="360" w:hanging="360"/>
      <w:jc w:val="both"/>
    </w:pPr>
    <w:rPr>
      <w:rFonts w:ascii="宋体" w:hAnsi="Times New Roman" w:eastAsia="宋体" w:cs="Times New Roman"/>
      <w:sz w:val="18"/>
      <w:szCs w:val="18"/>
      <w:lang w:val="en-US" w:eastAsia="zh-CN" w:bidi="ar-SA"/>
    </w:rPr>
  </w:style>
  <w:style w:type="paragraph" w:customStyle="1" w:styleId="13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38">
    <w:name w:val="附录数字编号列项（二级）"/>
    <w:qFormat/>
    <w:uiPriority w:val="0"/>
    <w:pPr>
      <w:tabs>
        <w:tab w:val="left" w:pos="363"/>
        <w:tab w:val="left" w:pos="840"/>
      </w:tabs>
      <w:ind w:firstLine="363"/>
    </w:pPr>
    <w:rPr>
      <w:rFonts w:ascii="宋体" w:hAnsi="Times New Roman" w:eastAsia="宋体" w:cs="Times New Roman"/>
      <w:sz w:val="21"/>
      <w:lang w:val="en-US" w:eastAsia="zh-CN" w:bidi="ar-SA"/>
    </w:rPr>
  </w:style>
  <w:style w:type="paragraph" w:customStyle="1" w:styleId="1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脚注文本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ind w:left="1008" w:hanging="1008"/>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link w:val="32"/>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after="160"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character" w:customStyle="1" w:styleId="175">
    <w:name w:val="批注文字 Char1"/>
    <w:basedOn w:val="56"/>
    <w:link w:val="13"/>
    <w:semiHidden/>
    <w:qFormat/>
    <w:uiPriority w:val="0"/>
    <w:rPr>
      <w:kern w:val="2"/>
      <w:sz w:val="21"/>
      <w:szCs w:val="24"/>
    </w:rPr>
  </w:style>
  <w:style w:type="character" w:customStyle="1" w:styleId="176">
    <w:name w:val="批注主题 Char1"/>
    <w:basedOn w:val="175"/>
    <w:link w:val="12"/>
    <w:semiHidden/>
    <w:qFormat/>
    <w:uiPriority w:val="0"/>
    <w:rPr>
      <w:b/>
      <w:bCs/>
    </w:rPr>
  </w:style>
  <w:style w:type="paragraph" w:customStyle="1" w:styleId="177">
    <w:name w:val="封面标准英文名称2"/>
    <w:basedOn w:val="171"/>
    <w:qFormat/>
    <w:uiPriority w:val="0"/>
  </w:style>
  <w:style w:type="paragraph" w:customStyle="1" w:styleId="178">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ind w:left="1287" w:hanging="360"/>
      <w:jc w:val="both"/>
    </w:pPr>
    <w:rPr>
      <w:rFonts w:ascii="宋体" w:hAnsi="Times New Roman" w:eastAsia="宋体" w:cs="Times New Roman"/>
      <w:sz w:val="18"/>
      <w:szCs w:val="18"/>
      <w:lang w:val="en-US" w:eastAsia="zh-CN" w:bidi="ar-SA"/>
    </w:rPr>
  </w:style>
  <w:style w:type="character" w:customStyle="1" w:styleId="181">
    <w:name w:val="正文文本 Char1"/>
    <w:basedOn w:val="56"/>
    <w:link w:val="27"/>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89">
    <w:name w:val="标准书眉一"/>
    <w:qFormat/>
    <w:uiPriority w:val="0"/>
    <w:pPr>
      <w:jc w:val="both"/>
    </w:pPr>
    <w:rPr>
      <w:rFonts w:ascii="Times New Roman" w:hAnsi="Times New Roman" w:eastAsia="宋体" w:cs="Times New Roman"/>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92">
    <w:name w:val="尾注文本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rPr>
      <w:rFonts w:ascii="宋体" w:hAnsi="Times New Roman" w:eastAsia="宋体" w:cs="Times New Roman"/>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ind w:firstLine="363"/>
      <w:jc w:val="both"/>
    </w:pPr>
    <w:rPr>
      <w:rFonts w:ascii="宋体" w:hAnsi="Times New Roman" w:eastAsia="宋体" w:cs="Times New Roman"/>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ind w:left="1190" w:hanging="567"/>
      <w:jc w:val="both"/>
    </w:pPr>
    <w:rPr>
      <w:rFonts w:ascii="宋体" w:hAnsi="Times New Roman" w:eastAsia="宋体" w:cs="Times New Roman"/>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ind w:left="623" w:hanging="425"/>
      <w:jc w:val="both"/>
    </w:pPr>
    <w:rPr>
      <w:rFonts w:ascii="宋体" w:hAnsi="Times New Roman" w:eastAsia="宋体" w:cs="Times New Roman"/>
      <w:sz w:val="21"/>
      <w:lang w:val="en-US" w:eastAsia="zh-CN" w:bidi="ar-SA"/>
    </w:rPr>
  </w:style>
  <w:style w:type="paragraph" w:customStyle="1" w:styleId="230">
    <w:name w:val="附录字母编号列项（一级）"/>
    <w:qFormat/>
    <w:uiPriority w:val="0"/>
    <w:pPr>
      <w:tabs>
        <w:tab w:val="left" w:pos="839"/>
      </w:tabs>
      <w:ind w:firstLine="363"/>
    </w:pPr>
    <w:rPr>
      <w:rFonts w:ascii="宋体" w:hAnsi="Times New Roman" w:eastAsia="宋体" w:cs="Times New Roman"/>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ind w:left="839" w:hanging="419"/>
      <w:jc w:val="both"/>
    </w:pPr>
    <w:rPr>
      <w:rFonts w:ascii="宋体" w:hAnsi="Times New Roman" w:eastAsia="宋体" w:cs="Times New Roman"/>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ind w:left="839" w:hanging="419"/>
      <w:jc w:val="both"/>
    </w:pPr>
    <w:rPr>
      <w:rFonts w:ascii="宋体" w:hAnsi="Times New Roman" w:eastAsia="宋体" w:cs="Times New Roman"/>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
    <w:semiHidden/>
    <w:qFormat/>
    <w:uiPriority w:val="99"/>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jc w:val="both"/>
    </w:pPr>
    <w:rPr>
      <w:rFonts w:ascii="Times New Roman" w:hAnsi="Times New Roman" w:eastAsia="宋体" w:cs="Times New Roman"/>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07E560-21D6-4CD9-825D-B88C581618FE}">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1465</Words>
  <Characters>8355</Characters>
  <Lines>69</Lines>
  <Paragraphs>19</Paragraphs>
  <ScaleCrop>false</ScaleCrop>
  <LinksUpToDate>false</LinksUpToDate>
  <CharactersWithSpaces>9801</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2017-07-24T07:18:00Z</dcterms:created>
  <dc:creator>10033860</dc:creator>
  <cp:lastModifiedBy>ZTE</cp:lastModifiedBy>
  <cp:lastPrinted>2113-01-01T00:00:00Z</cp:lastPrinted>
  <dcterms:modified xsi:type="dcterms:W3CDTF">2018-01-11T11:23:59Z</dcterms:modified>
  <cp:revision>242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